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iCs/>
          <w:sz w:val="84"/>
          <w:szCs w:val="84"/>
        </w:rPr>
      </w:pPr>
      <w:r>
        <w:rPr>
          <w:rFonts w:hint="eastAsia" w:ascii="宋体" w:hAnsi="宋体"/>
          <w:b/>
          <w:bCs/>
          <w:iCs/>
          <w:sz w:val="84"/>
          <w:szCs w:val="84"/>
        </w:rPr>
        <w:t>乐山师范学院</w:t>
      </w:r>
    </w:p>
    <w:p>
      <w:pPr>
        <w:jc w:val="center"/>
        <w:rPr>
          <w:rFonts w:ascii="楷体" w:hAnsi="楷体" w:eastAsia="楷体"/>
          <w:sz w:val="72"/>
          <w:szCs w:val="72"/>
        </w:rPr>
      </w:pPr>
      <w:r>
        <w:rPr>
          <w:rFonts w:hint="eastAsia" w:ascii="楷体" w:hAnsi="楷体" w:eastAsia="楷体"/>
          <w:sz w:val="72"/>
          <w:szCs w:val="72"/>
        </w:rPr>
        <w:t>教师教学工作计划</w:t>
      </w:r>
    </w:p>
    <w:p>
      <w:r>
        <w:rPr>
          <w:rFonts w:hint="eastAsia"/>
        </w:rPr>
        <w:t xml:space="preserve">                                  </w:t>
      </w:r>
      <w:r>
        <w:t xml:space="preserve">   </w:t>
      </w:r>
      <w:r>
        <w:rPr>
          <w:rFonts w:hint="eastAsia"/>
        </w:rPr>
        <w:t xml:space="preserve">  </w:t>
      </w:r>
    </w:p>
    <w:p/>
    <w:p/>
    <w:p>
      <w:r>
        <w:rPr>
          <w:rFonts w:hint="eastAsia"/>
        </w:rPr>
        <w:t xml:space="preserve">                  </w:t>
      </w:r>
    </w:p>
    <w:p>
      <w:pPr>
        <w:rPr>
          <w:rFonts w:ascii="宋体" w:hAnsi="宋体"/>
          <w:sz w:val="44"/>
          <w:szCs w:val="44"/>
          <w:u w:val="single"/>
        </w:rPr>
      </w:pPr>
      <w:r>
        <w:rPr>
          <w:rFonts w:hint="eastAsia" w:ascii="宋体" w:hAnsi="宋体"/>
          <w:sz w:val="44"/>
          <w:szCs w:val="44"/>
        </w:rPr>
        <w:t xml:space="preserve">     课程名称</w:t>
      </w:r>
      <w:r>
        <w:rPr>
          <w:rFonts w:hint="eastAsia" w:ascii="宋体" w:hAnsi="宋体"/>
          <w:sz w:val="44"/>
          <w:szCs w:val="44"/>
          <w:u w:val="single"/>
        </w:rPr>
        <w:t xml:space="preserve">        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宏观经济学</w:t>
      </w:r>
      <w:r>
        <w:rPr>
          <w:rFonts w:hint="eastAsia" w:ascii="宋体" w:hAnsi="宋体"/>
          <w:sz w:val="44"/>
          <w:szCs w:val="44"/>
          <w:u w:val="single"/>
        </w:rPr>
        <w:t xml:space="preserve">      </w:t>
      </w:r>
    </w:p>
    <w:p>
      <w:pPr>
        <w:rPr>
          <w:rFonts w:ascii="宋体" w:hAnsi="宋体"/>
          <w:sz w:val="44"/>
          <w:szCs w:val="44"/>
          <w:u w:val="single"/>
        </w:rPr>
      </w:pPr>
    </w:p>
    <w:p>
      <w:pPr>
        <w:rPr>
          <w:rFonts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44"/>
          <w:szCs w:val="44"/>
        </w:rPr>
        <w:t xml:space="preserve">     任课教师</w:t>
      </w:r>
      <w:r>
        <w:rPr>
          <w:rFonts w:hint="eastAsia" w:ascii="宋体" w:hAnsi="宋体"/>
          <w:sz w:val="44"/>
          <w:szCs w:val="44"/>
          <w:u w:val="single"/>
        </w:rPr>
        <w:t xml:space="preserve">         张志超         </w:t>
      </w:r>
    </w:p>
    <w:p>
      <w:pPr>
        <w:rPr>
          <w:rFonts w:ascii="宋体" w:hAnsi="宋体"/>
          <w:sz w:val="44"/>
          <w:szCs w:val="44"/>
          <w:u w:val="single"/>
        </w:rPr>
      </w:pPr>
    </w:p>
    <w:p>
      <w:pPr>
        <w:jc w:val="both"/>
        <w:rPr>
          <w:rFonts w:hint="default" w:ascii="宋体" w:hAnsi="宋体" w:eastAsia="宋体"/>
          <w:sz w:val="44"/>
          <w:szCs w:val="44"/>
          <w:u w:val="single"/>
          <w:lang w:val="en-US" w:eastAsia="zh-CN"/>
        </w:rPr>
      </w:pPr>
      <w:r>
        <w:rPr>
          <w:rFonts w:hint="eastAsia" w:ascii="宋体" w:hAnsi="宋体"/>
          <w:sz w:val="44"/>
          <w:szCs w:val="44"/>
        </w:rPr>
        <w:t xml:space="preserve">  </w:t>
      </w:r>
      <w:r>
        <w:rPr>
          <w:rFonts w:hint="eastAsia" w:ascii="宋体" w:hAnsi="宋体"/>
          <w:sz w:val="44"/>
          <w:szCs w:val="44"/>
          <w:lang w:val="en-US" w:eastAsia="zh-CN"/>
        </w:rPr>
        <w:t xml:space="preserve">   </w:t>
      </w:r>
      <w:r>
        <w:rPr>
          <w:rFonts w:hint="eastAsia" w:ascii="宋体" w:hAnsi="宋体"/>
          <w:sz w:val="44"/>
          <w:szCs w:val="44"/>
        </w:rPr>
        <w:t>授课班级</w:t>
      </w:r>
      <w:r>
        <w:rPr>
          <w:rFonts w:hint="eastAsia" w:ascii="宋体" w:hAnsi="宋体"/>
          <w:sz w:val="44"/>
          <w:szCs w:val="44"/>
          <w:u w:val="single"/>
        </w:rPr>
        <w:t xml:space="preserve">  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 xml:space="preserve">    </w:t>
      </w:r>
      <w:r>
        <w:rPr>
          <w:rFonts w:ascii="宋体" w:hAnsi="宋体"/>
          <w:sz w:val="44"/>
          <w:szCs w:val="44"/>
          <w:u w:val="single"/>
        </w:rPr>
        <w:t>2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024</w:t>
      </w:r>
      <w:r>
        <w:rPr>
          <w:rFonts w:hint="eastAsia" w:ascii="宋体" w:hAnsi="宋体"/>
          <w:sz w:val="44"/>
          <w:szCs w:val="44"/>
          <w:u w:val="single"/>
        </w:rPr>
        <w:t>级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应用统计</w:t>
      </w:r>
      <w:r>
        <w:rPr>
          <w:rFonts w:hint="eastAsia" w:ascii="宋体" w:hAnsi="宋体"/>
          <w:sz w:val="44"/>
          <w:szCs w:val="44"/>
          <w:u w:val="single"/>
        </w:rPr>
        <w:t>班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 xml:space="preserve">  </w:t>
      </w:r>
    </w:p>
    <w:p>
      <w:pPr>
        <w:jc w:val="center"/>
        <w:rPr>
          <w:rFonts w:ascii="宋体" w:hAnsi="宋体"/>
          <w:sz w:val="44"/>
          <w:szCs w:val="44"/>
          <w:u w:val="single"/>
        </w:rPr>
      </w:pPr>
    </w:p>
    <w:p>
      <w:pPr>
        <w:rPr>
          <w:rFonts w:ascii="宋体" w:hAnsi="宋体"/>
          <w:sz w:val="44"/>
          <w:szCs w:val="44"/>
          <w:u w:val="single"/>
        </w:rPr>
      </w:pPr>
      <w:r>
        <w:rPr>
          <w:rFonts w:hint="eastAsia" w:ascii="宋体" w:hAnsi="宋体"/>
          <w:sz w:val="44"/>
          <w:szCs w:val="44"/>
        </w:rPr>
        <w:t xml:space="preserve">    上交教研组日期</w:t>
      </w:r>
      <w:r>
        <w:rPr>
          <w:rFonts w:hint="eastAsia" w:ascii="宋体" w:hAnsi="宋体"/>
          <w:sz w:val="44"/>
          <w:szCs w:val="44"/>
          <w:u w:val="single"/>
        </w:rPr>
        <w:t xml:space="preserve">      </w:t>
      </w:r>
      <w:r>
        <w:rPr>
          <w:rFonts w:ascii="宋体" w:hAnsi="宋体"/>
          <w:sz w:val="44"/>
          <w:szCs w:val="44"/>
          <w:u w:val="single"/>
        </w:rPr>
        <w:t>20</w:t>
      </w:r>
      <w:r>
        <w:rPr>
          <w:rFonts w:hint="eastAsia" w:ascii="宋体" w:hAnsi="宋体"/>
          <w:sz w:val="44"/>
          <w:szCs w:val="44"/>
          <w:u w:val="single"/>
        </w:rPr>
        <w:t>2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6</w:t>
      </w:r>
      <w:r>
        <w:rPr>
          <w:rFonts w:ascii="宋体" w:hAnsi="宋体"/>
          <w:sz w:val="44"/>
          <w:szCs w:val="44"/>
          <w:u w:val="single"/>
        </w:rPr>
        <w:t>-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3</w:t>
      </w:r>
      <w:r>
        <w:rPr>
          <w:rFonts w:ascii="宋体" w:hAnsi="宋体"/>
          <w:sz w:val="44"/>
          <w:szCs w:val="44"/>
          <w:u w:val="single"/>
        </w:rPr>
        <w:t>-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6</w:t>
      </w:r>
      <w:r>
        <w:rPr>
          <w:rFonts w:hint="eastAsia" w:ascii="宋体" w:hAnsi="宋体"/>
          <w:sz w:val="44"/>
          <w:szCs w:val="44"/>
          <w:u w:val="single"/>
        </w:rPr>
        <w:t xml:space="preserve">    </w:t>
      </w:r>
    </w:p>
    <w:p>
      <w:pPr>
        <w:ind w:firstLine="2640" w:firstLineChars="600"/>
        <w:rPr>
          <w:rFonts w:ascii="宋体" w:hAnsi="宋体"/>
          <w:sz w:val="44"/>
          <w:szCs w:val="44"/>
          <w:u w:val="single"/>
        </w:rPr>
      </w:pPr>
    </w:p>
    <w:p>
      <w:pPr>
        <w:ind w:firstLine="2160" w:firstLineChars="600"/>
        <w:rPr>
          <w:rFonts w:ascii="宋体" w:hAnsi="宋体"/>
          <w:sz w:val="36"/>
          <w:u w:val="single"/>
        </w:rPr>
      </w:pPr>
    </w:p>
    <w:p>
      <w:pPr>
        <w:rPr>
          <w:rFonts w:ascii="宋体" w:hAnsi="宋体"/>
          <w:sz w:val="36"/>
          <w:u w:val="single"/>
        </w:rPr>
      </w:pPr>
    </w:p>
    <w:p>
      <w:pPr>
        <w:rPr>
          <w:rFonts w:ascii="宋体" w:hAnsi="宋体"/>
          <w:sz w:val="36"/>
          <w:u w:val="single"/>
        </w:rPr>
      </w:pPr>
    </w:p>
    <w:p>
      <w:pPr>
        <w:rPr>
          <w:rFonts w:ascii="宋体" w:hAnsi="宋体"/>
          <w:sz w:val="36"/>
          <w:u w:val="single"/>
        </w:rPr>
      </w:pPr>
    </w:p>
    <w:p>
      <w:pPr>
        <w:rPr>
          <w:rFonts w:ascii="宋体" w:hAnsi="宋体"/>
          <w:sz w:val="36"/>
          <w:u w:val="single"/>
        </w:rPr>
      </w:pPr>
    </w:p>
    <w:p>
      <w:pPr>
        <w:jc w:val="center"/>
        <w:outlineLvl w:val="0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202</w:t>
      </w:r>
      <w:r>
        <w:rPr>
          <w:rFonts w:hint="eastAsia" w:ascii="宋体" w:hAnsi="宋体"/>
          <w:sz w:val="44"/>
          <w:szCs w:val="44"/>
          <w:lang w:val="en-US" w:eastAsia="zh-CN"/>
        </w:rPr>
        <w:t>5</w:t>
      </w:r>
      <w:r>
        <w:rPr>
          <w:rFonts w:hint="eastAsia" w:ascii="宋体" w:hAnsi="宋体"/>
          <w:sz w:val="44"/>
          <w:szCs w:val="44"/>
        </w:rPr>
        <w:t>—202</w:t>
      </w:r>
      <w:r>
        <w:rPr>
          <w:rFonts w:hint="eastAsia" w:ascii="宋体" w:hAnsi="宋体"/>
          <w:sz w:val="44"/>
          <w:szCs w:val="44"/>
          <w:lang w:val="en-US" w:eastAsia="zh-CN"/>
        </w:rPr>
        <w:t>6</w:t>
      </w:r>
      <w:r>
        <w:rPr>
          <w:rFonts w:hint="eastAsia" w:ascii="宋体" w:hAnsi="宋体"/>
          <w:sz w:val="44"/>
          <w:szCs w:val="44"/>
        </w:rPr>
        <w:t>年度第  2  学期</w:t>
      </w:r>
    </w:p>
    <w:p>
      <w:pPr>
        <w:ind w:firstLine="2160" w:firstLineChars="600"/>
        <w:rPr>
          <w:rFonts w:ascii="宋体" w:hAnsi="宋体"/>
          <w:sz w:val="36"/>
        </w:rPr>
      </w:pPr>
    </w:p>
    <w:p>
      <w:pPr>
        <w:ind w:firstLine="2160" w:firstLineChars="600"/>
        <w:rPr>
          <w:rFonts w:ascii="宋体" w:hAnsi="宋体"/>
          <w:sz w:val="36"/>
        </w:rPr>
      </w:pPr>
    </w:p>
    <w:p>
      <w:pPr>
        <w:rPr>
          <w:rFonts w:ascii="宋体" w:hAnsi="宋体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说明</w:t>
      </w:r>
    </w:p>
    <w:p>
      <w:pPr>
        <w:spacing w:line="360" w:lineRule="auto"/>
        <w:ind w:firstLine="355" w:firstLineChars="148"/>
        <w:rPr>
          <w:sz w:val="24"/>
        </w:rPr>
      </w:pPr>
      <w:r>
        <w:rPr>
          <w:rFonts w:hint="eastAsia"/>
          <w:sz w:val="24"/>
        </w:rPr>
        <w:t>一、教学工作计划一般应有以下内容。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1、教学目的要求。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2、选用教材名称、编者、版本、教师备课主要参考书目，介绍给学生的阅读参考书目。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3、改革教学方法，提高教迷质量的具体措施，如：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（1）处理教材，改革教学方法，培养学生自学的基本考虑。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（2）作业方式、作业量、作业处理方式。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（3）辅导措施。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（4）除通常的讲授课、习题课、实验课、讨论课外，打算安排哪些其它的教学液压动。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（5）对学生的其它要求。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rFonts w:hint="eastAsia"/>
          <w:sz w:val="24"/>
        </w:rPr>
        <w:t>（以上三项可按学期编写，也可按课程周期纺写。）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4、课程考核方案：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（1）考试时间：期末集中或者提前（第16周最后一次课）。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（2）课程考核形式（开、闭卷。口试，论文，调查研报告等，）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（3）考核内容、难易度，时间长度，所占课程成绩的比例，采用提前开卷的说明的理由。</w:t>
      </w:r>
    </w:p>
    <w:p>
      <w:pPr>
        <w:spacing w:line="360" w:lineRule="auto"/>
        <w:ind w:firstLine="475" w:firstLineChars="198"/>
        <w:rPr>
          <w:sz w:val="24"/>
        </w:rPr>
      </w:pPr>
      <w:r>
        <w:rPr>
          <w:rFonts w:hint="eastAsia"/>
          <w:sz w:val="24"/>
        </w:rPr>
        <w:t>5、教学进度（此项必须按学期填入附表，并向学生公布）。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6、需要提供的教具或其它教学条件。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二、安排专人辅导工作，从事实验室建设，备课，进修的教师也应制订计划，一般应写明工作、学习的主要任务、目标及落实措施。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三、本计划一式两份，一份自存，一份于开学后第一周内交教研组讨论审查、补充修改后于第二周内交系。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四、辅导教师的工作计划由主讲教师指导编写。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五、教师工作计划执行情况每学期应由教研室组长做两次检查记录。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rFonts w:hint="eastAsia"/>
          <w:sz w:val="24"/>
        </w:rPr>
        <w:t>六、教师工作计划一学年归档一次。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  <w:sz w:val="24"/>
        </w:rPr>
      </w:pPr>
    </w:p>
    <w:p>
      <w:pPr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教学工作计划内容</w:t>
      </w:r>
    </w:p>
    <w:p>
      <w:pPr>
        <w:pStyle w:val="2"/>
        <w:spacing w:line="360" w:lineRule="auto"/>
        <w:ind w:right="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一、教学目的</w:t>
      </w:r>
    </w:p>
    <w:p>
      <w:pPr>
        <w:tabs>
          <w:tab w:val="left" w:pos="426"/>
        </w:tabs>
        <w:autoSpaceDE w:val="0"/>
        <w:autoSpaceDN w:val="0"/>
        <w:adjustRightInd w:val="0"/>
        <w:spacing w:line="420" w:lineRule="exact"/>
        <w:ind w:firstLine="468" w:firstLineChars="195"/>
        <w:jc w:val="left"/>
        <w:rPr>
          <w:rStyle w:val="6"/>
          <w:rFonts w:hint="eastAsia" w:cs="Courier New"/>
          <w:b w:val="0"/>
          <w:sz w:val="24"/>
        </w:rPr>
      </w:pPr>
      <w:r>
        <w:rPr>
          <w:rStyle w:val="6"/>
          <w:rFonts w:hint="eastAsia" w:cs="Courier New"/>
          <w:b w:val="0"/>
          <w:sz w:val="24"/>
        </w:rPr>
        <w:t>《宏观经济学》是应用统计学专业的专业基础必修课程。本课程以国民经济总量为考察对象，通过线上与线下混合式教学，学生能够分析宏观经济变量间的相互作用和影响，阐述一国实现充分就业和长期经济增长的机制，说明政府宏观经济政策的重要作用，实现对国家宏观经济政策和经济现象的自主解释。</w:t>
      </w:r>
    </w:p>
    <w:p>
      <w:pPr>
        <w:tabs>
          <w:tab w:val="left" w:pos="426"/>
        </w:tabs>
        <w:autoSpaceDE w:val="0"/>
        <w:autoSpaceDN w:val="0"/>
        <w:adjustRightInd w:val="0"/>
        <w:spacing w:line="360" w:lineRule="exact"/>
        <w:ind w:firstLine="468" w:firstLineChars="195"/>
        <w:jc w:val="left"/>
        <w:rPr>
          <w:rFonts w:ascii="宋体" w:hAnsi="宋体"/>
          <w:sz w:val="24"/>
          <w:szCs w:val="24"/>
        </w:rPr>
      </w:pPr>
    </w:p>
    <w:p>
      <w:pPr>
        <w:pStyle w:val="2"/>
        <w:numPr>
          <w:ilvl w:val="0"/>
          <w:numId w:val="1"/>
        </w:numPr>
        <w:spacing w:line="360" w:lineRule="auto"/>
        <w:ind w:right="6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教学主要内容和学时分配</w:t>
      </w: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第九章 宏观经济的基本指标及其衡量（6课时）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国内生产总值及其衡量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价格水平及其衡量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失业及其衡量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与基本指标相关的宏观经济问题</w:t>
      </w: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第十章 国民收入的决定：收入-支出模型（6课时）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均衡国民收入的决定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两部门经济：家庭部门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两部门经济：企业部门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三部门经济：政府部门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第五节 四部门经济：国外部门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第六节 影响需求的重要机制：乘数</w:t>
      </w: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第十一章 国民收入的决定：IS-LM模型（6课时）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产品市场的均衡：IS曲线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货币市场的均衡：LM曲线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产品市场和货币市场的共同均衡：IS-LM模型</w:t>
      </w: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第十二章 国民收入的决定：AD-AS模型（6课时）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AD曲线及其变动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AS曲线及其变动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AD-AS模型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AD-AS模型对外来冲击的反应</w:t>
      </w: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第十三章 失业、通货膨胀和经济周期（6课时）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失业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通货膨胀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菲利普斯曲线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经济周期</w:t>
      </w: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第十四章 开放条件下的宏观经济（6课时）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国际收支和汇率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蒙代尔-弗莱明模型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固定汇率制下的政策效果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浮动汇率制下的政策效果</w:t>
      </w: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第十五章 宏观经济政策（6课时）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宏观经济政策目标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财政政策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货币政策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财政政策和货币政策的局限性与协调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第五节 供给管理政策</w:t>
      </w: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第十六章 经济增长（6课时）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第一节 经济增长的描述与事实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第二节 经济增长的决定因素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第三节 新古典增长模型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第四节 内生增长模型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第五节 增长核算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第六节 促进经济增长的政策</w:t>
      </w:r>
    </w:p>
    <w:p>
      <w:pPr>
        <w:pStyle w:val="2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三、教材、参考书</w:t>
      </w:r>
    </w:p>
    <w:p>
      <w:pPr>
        <w:spacing w:line="480" w:lineRule="exact"/>
        <w:ind w:firstLine="470" w:firstLineChars="196"/>
        <w:outlineLvl w:val="0"/>
        <w:rPr>
          <w:rFonts w:hint="eastAsia"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1.</w:t>
      </w:r>
      <w:r>
        <w:rPr>
          <w:rFonts w:hint="eastAsia" w:ascii="仿宋" w:hAnsi="仿宋" w:eastAsia="仿宋"/>
          <w:sz w:val="24"/>
        </w:rPr>
        <w:t>推荐教材：</w:t>
      </w:r>
    </w:p>
    <w:p>
      <w:pPr>
        <w:spacing w:line="480" w:lineRule="exact"/>
        <w:ind w:firstLine="470" w:firstLineChars="196"/>
        <w:outlineLvl w:val="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本书编写组编：《</w:t>
      </w:r>
      <w:r>
        <w:rPr>
          <w:rFonts w:hint="eastAsia" w:ascii="仿宋" w:hAnsi="仿宋" w:eastAsia="仿宋"/>
          <w:sz w:val="24"/>
          <w:lang w:val="en-US" w:eastAsia="zh-CN"/>
        </w:rPr>
        <w:t>西方</w:t>
      </w:r>
      <w:r>
        <w:rPr>
          <w:rFonts w:hint="eastAsia" w:ascii="仿宋" w:hAnsi="仿宋" w:eastAsia="仿宋"/>
          <w:sz w:val="24"/>
        </w:rPr>
        <w:t>经济学》（第二版）</w:t>
      </w:r>
      <w:r>
        <w:rPr>
          <w:rFonts w:hint="eastAsia" w:ascii="仿宋" w:hAnsi="仿宋" w:eastAsia="仿宋"/>
          <w:sz w:val="24"/>
          <w:lang w:val="en-US" w:eastAsia="zh-CN"/>
        </w:rPr>
        <w:t>下册</w:t>
      </w:r>
      <w:r>
        <w:rPr>
          <w:rFonts w:hint="eastAsia" w:ascii="仿宋" w:hAnsi="仿宋" w:eastAsia="仿宋"/>
          <w:sz w:val="24"/>
        </w:rPr>
        <w:t>，马工程重点教材，高等教育出版社，人民出版社，20</w:t>
      </w:r>
      <w:r>
        <w:rPr>
          <w:rFonts w:hint="eastAsia" w:ascii="仿宋" w:hAnsi="仿宋" w:eastAsia="仿宋"/>
          <w:sz w:val="24"/>
          <w:lang w:val="en-US" w:eastAsia="zh-CN"/>
        </w:rPr>
        <w:t>19</w:t>
      </w:r>
      <w:r>
        <w:rPr>
          <w:rFonts w:hint="eastAsia" w:ascii="仿宋" w:hAnsi="仿宋" w:eastAsia="仿宋"/>
          <w:sz w:val="24"/>
        </w:rPr>
        <w:t>年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hint="eastAsia" w:ascii="仿宋" w:hAnsi="仿宋" w:eastAsia="仿宋"/>
          <w:sz w:val="24"/>
        </w:rPr>
        <w:t>月</w:t>
      </w:r>
      <w:r>
        <w:rPr>
          <w:rFonts w:hint="eastAsia" w:ascii="仿宋" w:hAnsi="仿宋" w:eastAsia="仿宋"/>
          <w:sz w:val="24"/>
          <w:lang w:val="en-US" w:eastAsia="zh-CN"/>
        </w:rPr>
        <w:t>第2版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ind w:firstLine="470" w:firstLineChars="196"/>
        <w:outlineLvl w:val="0"/>
        <w:rPr>
          <w:rFonts w:hint="eastAsia"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2.</w:t>
      </w:r>
      <w:r>
        <w:rPr>
          <w:rFonts w:hint="eastAsia" w:ascii="仿宋" w:hAnsi="仿宋" w:eastAsia="仿宋"/>
          <w:sz w:val="24"/>
        </w:rPr>
        <w:t>主要参考书目：</w:t>
      </w:r>
    </w:p>
    <w:p>
      <w:pPr>
        <w:spacing w:line="360" w:lineRule="exact"/>
        <w:ind w:firstLine="480" w:firstLineChars="200"/>
        <w:outlineLvl w:val="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hint="eastAsia" w:ascii="仿宋" w:hAnsi="仿宋" w:eastAsia="仿宋"/>
          <w:sz w:val="24"/>
          <w:lang w:val="zh-CN"/>
        </w:rPr>
        <w:t>）《西方经济学》，高鸿业，中国人民大学出版社，2018年第七版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360" w:lineRule="exact"/>
        <w:ind w:firstLine="480" w:firstLineChars="200"/>
        <w:outlineLvl w:val="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lang w:val="zh-CN"/>
        </w:rPr>
        <w:t>）《微观经济学》，曼昆，中国人民大学出版社，最新版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360" w:lineRule="exact"/>
        <w:ind w:firstLine="480" w:firstLineChars="200"/>
        <w:outlineLvl w:val="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lang w:val="zh-CN"/>
        </w:rPr>
        <w:t>）《</w:t>
      </w:r>
      <w:r>
        <w:rPr>
          <w:rFonts w:hint="eastAsia" w:ascii="仿宋" w:hAnsi="仿宋" w:eastAsia="仿宋"/>
          <w:sz w:val="24"/>
        </w:rPr>
        <w:t>宏观经济学原理：中国视角</w:t>
      </w:r>
      <w:r>
        <w:rPr>
          <w:rFonts w:hint="eastAsia" w:ascii="仿宋" w:hAnsi="仿宋" w:eastAsia="仿宋"/>
          <w:sz w:val="24"/>
          <w:lang w:val="zh-CN"/>
        </w:rPr>
        <w:t>》</w:t>
      </w:r>
      <w:r>
        <w:rPr>
          <w:rFonts w:hint="eastAsia" w:ascii="仿宋" w:hAnsi="仿宋" w:eastAsia="仿宋"/>
          <w:sz w:val="24"/>
        </w:rPr>
        <w:t>，余淼杰、于鸿君，北京大学出版社，2022年</w:t>
      </w:r>
      <w:r>
        <w:rPr>
          <w:rFonts w:hint="eastAsia" w:ascii="仿宋" w:hAnsi="仿宋" w:eastAsia="仿宋"/>
          <w:sz w:val="24"/>
          <w:lang w:val="zh-CN"/>
        </w:rPr>
        <w:t>第</w:t>
      </w:r>
      <w:r>
        <w:rPr>
          <w:rFonts w:hint="eastAsia" w:ascii="仿宋" w:hAnsi="仿宋" w:eastAsia="仿宋"/>
          <w:sz w:val="24"/>
        </w:rPr>
        <w:t>1版。</w:t>
      </w:r>
    </w:p>
    <w:p>
      <w:pPr>
        <w:spacing w:line="360" w:lineRule="exact"/>
        <w:ind w:firstLine="480" w:firstLineChars="200"/>
        <w:outlineLvl w:val="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lang w:val="zh-CN"/>
        </w:rPr>
        <w:t>）《</w:t>
      </w:r>
      <w:r>
        <w:rPr>
          <w:rFonts w:hint="eastAsia" w:ascii="仿宋" w:hAnsi="仿宋" w:eastAsia="仿宋"/>
          <w:sz w:val="24"/>
        </w:rPr>
        <w:t>宏观经济学二十五讲：中国视角</w:t>
      </w:r>
      <w:r>
        <w:rPr>
          <w:rFonts w:hint="eastAsia" w:ascii="仿宋" w:hAnsi="仿宋" w:eastAsia="仿宋"/>
          <w:sz w:val="24"/>
          <w:lang w:val="zh-CN"/>
        </w:rPr>
        <w:t>》</w:t>
      </w:r>
      <w:r>
        <w:rPr>
          <w:rFonts w:hint="eastAsia" w:ascii="仿宋" w:hAnsi="仿宋" w:eastAsia="仿宋"/>
          <w:sz w:val="24"/>
        </w:rPr>
        <w:t>，徐高，中国人民大学</w:t>
      </w:r>
      <w:r>
        <w:rPr>
          <w:rFonts w:hint="eastAsia" w:ascii="仿宋" w:hAnsi="仿宋" w:eastAsia="仿宋"/>
          <w:sz w:val="24"/>
          <w:lang w:val="zh-CN"/>
        </w:rPr>
        <w:t>出版社</w:t>
      </w:r>
      <w:r>
        <w:rPr>
          <w:rFonts w:hint="eastAsia" w:ascii="仿宋" w:hAnsi="仿宋" w:eastAsia="仿宋"/>
          <w:sz w:val="24"/>
        </w:rPr>
        <w:t xml:space="preserve"> ，2019年</w:t>
      </w:r>
      <w:r>
        <w:rPr>
          <w:rFonts w:hint="eastAsia" w:ascii="仿宋" w:hAnsi="仿宋" w:eastAsia="仿宋"/>
          <w:sz w:val="24"/>
          <w:lang w:val="zh-CN"/>
        </w:rPr>
        <w:t>第</w:t>
      </w:r>
      <w:r>
        <w:rPr>
          <w:rFonts w:hint="eastAsia" w:ascii="仿宋" w:hAnsi="仿宋" w:eastAsia="仿宋"/>
          <w:sz w:val="24"/>
        </w:rPr>
        <w:t>1版。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jc w:val="left"/>
        <w:rPr>
          <w:rStyle w:val="6"/>
          <w:rFonts w:hint="eastAsia" w:ascii="宋体" w:hAnsi="宋体" w:eastAsia="宋体" w:cs="Courier New"/>
          <w:b w:val="0"/>
          <w:color w:val="FF0000"/>
          <w:kern w:val="0"/>
          <w:sz w:val="24"/>
          <w:szCs w:val="30"/>
          <w:lang w:eastAsia="zh-CN"/>
        </w:rPr>
      </w:pPr>
      <w:r>
        <w:rPr>
          <w:rFonts w:hint="eastAsia" w:ascii="宋体" w:hAnsi="宋体"/>
          <w:b w:val="0"/>
          <w:bCs w:val="0"/>
          <w:color w:val="000000"/>
          <w:sz w:val="24"/>
        </w:rPr>
        <w:t>3</w:t>
      </w:r>
      <w:r>
        <w:rPr>
          <w:rFonts w:hint="eastAsia" w:ascii="宋体" w:hAnsi="宋体"/>
          <w:b w:val="0"/>
          <w:bCs w:val="0"/>
          <w:color w:val="000000"/>
          <w:sz w:val="24"/>
          <w:lang w:eastAsia="zh-CN"/>
        </w:rPr>
        <w:t>.</w:t>
      </w:r>
      <w:r>
        <w:rPr>
          <w:rFonts w:hint="eastAsia" w:ascii="宋体" w:hAnsi="宋体"/>
          <w:b w:val="0"/>
          <w:bCs w:val="0"/>
          <w:color w:val="000000"/>
          <w:sz w:val="24"/>
        </w:rPr>
        <w:t>课外学习资源</w:t>
      </w:r>
      <w:r>
        <w:rPr>
          <w:rFonts w:hint="eastAsia" w:ascii="宋体" w:hAnsi="宋体"/>
          <w:b w:val="0"/>
          <w:bCs w:val="0"/>
          <w:color w:val="000000"/>
          <w:sz w:val="24"/>
          <w:lang w:eastAsia="zh-CN"/>
        </w:rPr>
        <w:t>：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（1）学术期刊：《经济研究》、《经济学动态》、《世界经济研究》等。</w:t>
      </w:r>
    </w:p>
    <w:p>
      <w:pPr>
        <w:autoSpaceDE w:val="0"/>
        <w:autoSpaceDN w:val="0"/>
        <w:adjustRightInd w:val="0"/>
        <w:spacing w:line="36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（2）课程开设平台资源：</w:t>
      </w:r>
      <w:r>
        <w:rPr>
          <w:color w:val="000000"/>
          <w:sz w:val="24"/>
        </w:rPr>
        <w:t>https://mooc1.chaoxing.com/course/235108739.html</w:t>
      </w:r>
    </w:p>
    <w:p>
      <w:pPr>
        <w:spacing w:line="360" w:lineRule="exact"/>
        <w:outlineLvl w:val="0"/>
        <w:rPr>
          <w:rFonts w:ascii="仿宋" w:hAnsi="仿宋" w:eastAsia="仿宋"/>
          <w:sz w:val="24"/>
        </w:rPr>
      </w:pPr>
    </w:p>
    <w:p>
      <w:pPr>
        <w:pStyle w:val="2"/>
        <w:spacing w:line="360" w:lineRule="auto"/>
        <w:ind w:left="479" w:leftChars="228" w:right="6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24"/>
        </w:rPr>
        <w:t>四、</w:t>
      </w:r>
      <w:r>
        <w:rPr>
          <w:rFonts w:hint="eastAsia"/>
          <w:b/>
          <w:sz w:val="24"/>
        </w:rPr>
        <w:t>改革教学方法，提高教学质量的具体措施</w:t>
      </w:r>
    </w:p>
    <w:p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1.采用以原理为中心的讲课模式，即：</w:t>
      </w:r>
    </w:p>
    <w:p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一般性概括→对一般性概括的证明→解释、类比、例证、演示、实验→对一般性概括的复述→总结</w:t>
      </w:r>
    </w:p>
    <w:p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2.处理教材</w:t>
      </w:r>
    </w:p>
    <w:p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讲课前要深入钻研教学大纲、教材，分析教学重点、难点，在了解学生的学习基础、兴趣、学风、纪律等各种因素的基础上，从实际出发，确定相应的教学手段，根据教学内容本身的逻辑体系，深入研究教法，确定如何做到教师的讲解、学生的练习与教学手段的有机结合，并且应当及时地收集反馈信息，进行总结，改进教法。</w:t>
      </w:r>
    </w:p>
    <w:p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3.教学方法</w:t>
      </w:r>
    </w:p>
    <w:p>
      <w:pPr>
        <w:spacing w:line="420" w:lineRule="exact"/>
        <w:ind w:firstLine="470" w:firstLineChars="196"/>
        <w:outlineLvl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采用讲授与讨论相结合的交互教学手段，调动学生积极性；采用案例教学法，增加学生兴趣 ；使用网络教学环境，将授课从课堂延伸到课外；教学资料的电子化，提高教学效果。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五、作业及成绩考核方式</w:t>
      </w:r>
    </w:p>
    <w:p>
      <w:pPr>
        <w:spacing w:line="42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（一）作业</w:t>
      </w:r>
    </w:p>
    <w:p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1.作业处置：每学期批改次数不少于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次，每次批改数量不少于1/2.</w:t>
      </w:r>
    </w:p>
    <w:p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2.辅导：随机个别或集体答疑.</w:t>
      </w:r>
    </w:p>
    <w:p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3.要求: 多读参考书, 尽量独立完成教材上全部习题.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（二）考核方式</w:t>
      </w:r>
    </w:p>
    <w:p>
      <w:pPr>
        <w:spacing w:line="42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1.考试时间：120分钟；</w:t>
      </w:r>
    </w:p>
    <w:p>
      <w:pPr>
        <w:spacing w:line="42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2.考核方式：期末闭卷考试；</w:t>
      </w:r>
    </w:p>
    <w:p>
      <w:pPr>
        <w:spacing w:line="42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3.总成绩其中平时成绩</w:t>
      </w:r>
      <w:r>
        <w:rPr>
          <w:rFonts w:hint="eastAsia" w:ascii="宋体" w:hAnsi="宋体"/>
          <w:b/>
          <w:bCs/>
          <w:sz w:val="24"/>
          <w:szCs w:val="24"/>
        </w:rPr>
        <w:t>（含平时作业成绩、平时测验成绩、课堂表现</w:t>
      </w:r>
      <w:r>
        <w:rPr>
          <w:rFonts w:hint="eastAsia" w:ascii="宋体" w:hAnsi="宋体"/>
          <w:sz w:val="24"/>
          <w:szCs w:val="24"/>
        </w:rPr>
        <w:t>）占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0%、期末考试成绩占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0%，成绩记载采用百分制。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六、教学进度</w:t>
      </w:r>
    </w:p>
    <w:p>
      <w:pPr>
        <w:spacing w:line="720" w:lineRule="exact"/>
        <w:jc w:val="center"/>
        <w:rPr>
          <w:rFonts w:ascii="宋体" w:hAnsi="宋体"/>
          <w:b/>
          <w:sz w:val="52"/>
        </w:rPr>
      </w:pPr>
      <w:r>
        <w:rPr>
          <w:rFonts w:hint="eastAsia" w:ascii="宋体" w:hAnsi="宋体"/>
          <w:b/>
          <w:sz w:val="52"/>
        </w:rPr>
        <w:t>教学进度表</w:t>
      </w:r>
    </w:p>
    <w:p>
      <w:pPr>
        <w:jc w:val="center"/>
        <w:rPr>
          <w:rFonts w:ascii="宋体" w:hAnsi="宋体"/>
          <w:sz w:val="10"/>
          <w:szCs w:val="10"/>
        </w:rPr>
      </w:pPr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3547"/>
        <w:gridCol w:w="684"/>
        <w:gridCol w:w="684"/>
        <w:gridCol w:w="684"/>
        <w:gridCol w:w="684"/>
        <w:gridCol w:w="684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454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周</w:t>
            </w:r>
          </w:p>
          <w:p>
            <w:pPr>
              <w:spacing w:line="260" w:lineRule="exact"/>
              <w:jc w:val="center"/>
            </w:pP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47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计划进度</w:t>
            </w:r>
          </w:p>
        </w:tc>
        <w:tc>
          <w:tcPr>
            <w:tcW w:w="3420" w:type="dxa"/>
            <w:gridSpan w:val="5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课时分配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  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45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547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讲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授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习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题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堂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讨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论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实践教学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作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业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形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945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导论</w:t>
            </w:r>
          </w:p>
          <w:p/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>
            <w:pPr>
              <w:ind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第九章 宏观经济的基本指标及其衡量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第一节 国内生产总值及其衡量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价格水平及其衡量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失业及其衡量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与基本指标相关的宏观经济问题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第十章 国民收入的决定：收入-支出模型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第一节 均衡国民收入的决定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两部门经济：家庭部门</w:t>
            </w:r>
          </w:p>
          <w:p/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两部门经济：企业部门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三部门经济：政府部门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>
            <w:pPr>
              <w:ind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第五节 四部门经济：国外部门</w:t>
            </w:r>
          </w:p>
          <w:p>
            <w:pPr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第六节 影响需求的重要机制：乘数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>
            <w:pPr>
              <w:ind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第十一章 国民收入的决定：IS-LM模型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第一节 产品市场的均衡：IS曲线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第二节 货币市场的均衡：LM曲线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第三节 产品市场和货币市场的共同均衡：IS-LM模型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第十二章 国民收入的决定：AD-AS模型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第一节 AD曲线及其变动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第二节 AS曲线及其变动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第三节 AD-AS模型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lang w:val="en-US" w:eastAsia="zh-CN"/>
              </w:rPr>
              <w:t>第四节 AD-AS模型对外来冲击的反应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第十三章 失业、通货膨胀和经济周期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第一节 失业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通货膨胀</w:t>
            </w:r>
          </w:p>
          <w:p>
            <w:pPr>
              <w:rPr>
                <w:rFonts w:hint="eastAsia" w:ascii="Times New Roman" w:hAnsi="Times New Roman" w:cs="Times New Roman"/>
                <w:bCs/>
                <w:szCs w:val="21"/>
                <w:lang w:val="en-US" w:eastAsia="zh-CN"/>
              </w:rPr>
            </w:pP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菲利普斯曲线</w:t>
            </w:r>
          </w:p>
          <w:p>
            <w:pPr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经济周期</w:t>
            </w:r>
          </w:p>
          <w:p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第十四章 开放条件下的宏观经济第一节 国际收支和汇率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蒙代尔-弗莱明模型</w:t>
            </w:r>
          </w:p>
          <w:p/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固定汇率制下的政策效果</w:t>
            </w:r>
          </w:p>
          <w:p>
            <w:pPr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浮动汇率制下的政策效果</w:t>
            </w:r>
          </w:p>
          <w:p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第十五章 宏观经济政策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第一节 宏观经济政策目标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财政政策</w:t>
            </w:r>
          </w:p>
          <w:p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货币政策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财政政策和货币政策的局限性与协调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第五节 供给管理政策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第十六章 经济增长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第一节 经济增长的描述与事实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第二节 经济增长的决定因素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第三节 新古典增长模型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第四节 内生增长模型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第五节 增长核算</w:t>
            </w:r>
          </w:p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第六节 促进经济增长的政策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Cs/>
                <w:szCs w:val="21"/>
              </w:rPr>
              <w:t>合计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64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64</w:t>
            </w:r>
          </w:p>
        </w:tc>
        <w:tc>
          <w:tcPr>
            <w:tcW w:w="684" w:type="dxa"/>
            <w:vAlign w:val="center"/>
          </w:tcPr>
          <w:p/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</w:t>
            </w:r>
          </w:p>
          <w:p>
            <w:pPr>
              <w:jc w:val="center"/>
            </w:pPr>
            <w:r>
              <w:rPr>
                <w:rFonts w:hint="eastAsia"/>
              </w:rPr>
              <w:t>练习</w:t>
            </w:r>
          </w:p>
        </w:tc>
        <w:tc>
          <w:tcPr>
            <w:tcW w:w="945" w:type="dxa"/>
            <w:vAlign w:val="center"/>
          </w:tcPr>
          <w:p/>
        </w:tc>
      </w:tr>
    </w:tbl>
    <w:p>
      <w:pPr>
        <w:rPr>
          <w:rFonts w:ascii="宋体" w:hAnsi="宋体"/>
          <w:sz w:val="24"/>
        </w:rPr>
      </w:pPr>
    </w:p>
    <w:p>
      <w:pPr>
        <w:spacing w:line="720" w:lineRule="exact"/>
        <w:rPr>
          <w:rFonts w:ascii="宋体" w:hAnsi="宋体"/>
          <w:sz w:val="52"/>
        </w:rPr>
      </w:pPr>
      <w:r>
        <w:rPr>
          <w:rFonts w:hint="eastAsia" w:ascii="宋体" w:hAnsi="宋体"/>
          <w:sz w:val="44"/>
        </w:rPr>
        <w:t>教研室审查意见：</w:t>
      </w:r>
      <w:r>
        <w:rPr>
          <w:rFonts w:ascii="宋体" w:hAnsi="宋体"/>
          <w:sz w:val="52"/>
        </w:rPr>
        <w:t xml:space="preserve"> </w:t>
      </w:r>
    </w:p>
    <w:p>
      <w:pPr>
        <w:spacing w:line="720" w:lineRule="exact"/>
        <w:jc w:val="right"/>
        <w:rPr>
          <w:rFonts w:hint="eastAsia" w:ascii="宋体" w:hAnsi="宋体"/>
          <w:sz w:val="28"/>
        </w:rPr>
      </w:pPr>
    </w:p>
    <w:p>
      <w:pPr>
        <w:spacing w:line="720" w:lineRule="exact"/>
        <w:jc w:val="right"/>
        <w:rPr>
          <w:rFonts w:hint="eastAsia" w:ascii="宋体" w:hAnsi="宋体"/>
          <w:sz w:val="28"/>
        </w:rPr>
      </w:pPr>
    </w:p>
    <w:p>
      <w:pPr>
        <w:spacing w:line="720" w:lineRule="exact"/>
        <w:jc w:val="right"/>
        <w:rPr>
          <w:rFonts w:hint="eastAsia" w:ascii="宋体" w:hAnsi="宋体"/>
          <w:sz w:val="28"/>
        </w:rPr>
      </w:pPr>
    </w:p>
    <w:p>
      <w:pPr>
        <w:spacing w:line="720" w:lineRule="exact"/>
        <w:jc w:val="righ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                 </w:t>
      </w:r>
    </w:p>
    <w:p>
      <w:pPr>
        <w:spacing w:line="720" w:lineRule="exact"/>
        <w:jc w:val="righ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教研室主任签名：                                                     202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</w:rPr>
        <w:t xml:space="preserve"> 月  日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br w:type="page"/>
      </w:r>
    </w:p>
    <w:p>
      <w:pPr>
        <w:spacing w:line="720" w:lineRule="exact"/>
        <w:jc w:val="right"/>
        <w:rPr>
          <w:rFonts w:hint="eastAsia" w:ascii="宋体" w:hAnsi="宋体"/>
          <w:sz w:val="32"/>
          <w:szCs w:val="32"/>
        </w:rPr>
      </w:pPr>
    </w:p>
    <w:p>
      <w:pPr>
        <w:wordWrap w:val="0"/>
        <w:spacing w:line="720" w:lineRule="exact"/>
        <w:ind w:right="26"/>
        <w:jc w:val="center"/>
        <w:rPr>
          <w:rFonts w:ascii="宋体" w:hAnsi="宋体"/>
          <w:sz w:val="32"/>
          <w:szCs w:val="32"/>
        </w:rPr>
      </w:pPr>
    </w:p>
    <w:p>
      <w:pPr>
        <w:spacing w:line="720" w:lineRule="exact"/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44"/>
        </w:rPr>
        <w:t>执行情况检查记载</w:t>
      </w:r>
    </w:p>
    <w:p>
      <w:pPr>
        <w:spacing w:line="720" w:lineRule="exact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第一次:</w:t>
      </w:r>
    </w:p>
    <w:p>
      <w:pPr>
        <w:spacing w:line="720" w:lineRule="exact"/>
        <w:rPr>
          <w:rFonts w:ascii="宋体" w:hAnsi="宋体"/>
          <w:sz w:val="32"/>
        </w:rPr>
      </w:pPr>
    </w:p>
    <w:p>
      <w:pPr>
        <w:spacing w:line="720" w:lineRule="exact"/>
        <w:rPr>
          <w:rFonts w:ascii="宋体" w:hAnsi="宋体"/>
          <w:sz w:val="32"/>
        </w:rPr>
      </w:pPr>
    </w:p>
    <w:p>
      <w:pPr>
        <w:spacing w:line="720" w:lineRule="exact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                           教研室主任签名: </w:t>
      </w:r>
    </w:p>
    <w:p>
      <w:pPr>
        <w:spacing w:line="720" w:lineRule="exact"/>
        <w:ind w:firstLine="4800" w:firstLineChars="15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20   年     月     日</w:t>
      </w:r>
    </w:p>
    <w:p>
      <w:pPr>
        <w:spacing w:line="720" w:lineRule="exact"/>
        <w:rPr>
          <w:rFonts w:ascii="宋体" w:hAnsi="宋体"/>
        </w:rPr>
      </w:pP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                                         </w:t>
      </w:r>
      <w:r>
        <w:rPr>
          <w:rFonts w:hint="eastAsia" w:ascii="宋体" w:hAnsi="宋体"/>
        </w:rPr>
        <w:t xml:space="preserve"> </w:t>
      </w:r>
    </w:p>
    <w:p>
      <w:pPr>
        <w:spacing w:line="720" w:lineRule="exact"/>
        <w:ind w:firstLine="42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第二次 </w:t>
      </w:r>
    </w:p>
    <w:p>
      <w:pPr>
        <w:spacing w:line="720" w:lineRule="exact"/>
        <w:ind w:firstLine="420"/>
        <w:rPr>
          <w:rFonts w:ascii="宋体" w:hAnsi="宋体"/>
          <w:sz w:val="32"/>
        </w:rPr>
      </w:pPr>
    </w:p>
    <w:p>
      <w:pPr>
        <w:spacing w:line="720" w:lineRule="exact"/>
        <w:ind w:firstLine="420"/>
        <w:rPr>
          <w:rFonts w:ascii="宋体" w:hAnsi="宋体"/>
          <w:sz w:val="32"/>
        </w:rPr>
      </w:pPr>
    </w:p>
    <w:p>
      <w:pPr>
        <w:spacing w:line="720" w:lineRule="exact"/>
        <w:ind w:firstLine="4160" w:firstLineChars="13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教研室主任签名: </w:t>
      </w:r>
    </w:p>
    <w:p>
      <w:pPr>
        <w:spacing w:line="720" w:lineRule="exact"/>
        <w:jc w:val="right"/>
        <w:rPr>
          <w:rFonts w:ascii="方正姚体" w:hAnsi="宋体" w:eastAsia="方正姚体"/>
        </w:rPr>
      </w:pPr>
      <w:r>
        <w:rPr>
          <w:rFonts w:hint="eastAsia" w:ascii="宋体" w:hAnsi="宋体"/>
          <w:sz w:val="32"/>
        </w:rPr>
        <w:t>20   年     月     日</w:t>
      </w:r>
      <w:r>
        <w:rPr>
          <w:rFonts w:hint="eastAsia" w:ascii="方正姚体" w:hAnsi="宋体" w:eastAsia="方正姚体"/>
          <w:sz w:val="36"/>
        </w:rPr>
        <w:t xml:space="preserve">               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500" w:firstLineChars="2500"/>
    </w:pPr>
    <w:r>
      <w:fldChar w:fldCharType="begin"/>
    </w:r>
    <w:r>
      <w:rPr>
        <w:rStyle w:val="7"/>
      </w:rPr>
      <w:instrText xml:space="preserve"> PAGE </w:instrText>
    </w:r>
    <w:r>
      <w:fldChar w:fldCharType="separate"/>
    </w:r>
    <w:r>
      <w:rPr>
        <w:rStyle w:val="7"/>
      </w:rPr>
      <w:t>8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7866BF"/>
    <w:multiLevelType w:val="singleLevel"/>
    <w:tmpl w:val="317866BF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58A985BE"/>
    <w:multiLevelType w:val="singleLevel"/>
    <w:tmpl w:val="58A985BE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jljNGY3NDIzNmU3NTZlZTk2YjI1NjVlNzhmYWMifQ=="/>
  </w:docVars>
  <w:rsids>
    <w:rsidRoot w:val="00B4476E"/>
    <w:rsid w:val="00073917"/>
    <w:rsid w:val="003D19F6"/>
    <w:rsid w:val="00412F4B"/>
    <w:rsid w:val="00747815"/>
    <w:rsid w:val="0074799F"/>
    <w:rsid w:val="00A83E74"/>
    <w:rsid w:val="00B4476E"/>
    <w:rsid w:val="00D54697"/>
    <w:rsid w:val="00D569EC"/>
    <w:rsid w:val="00E84E90"/>
    <w:rsid w:val="00EB0E57"/>
    <w:rsid w:val="0823191E"/>
    <w:rsid w:val="09362DD3"/>
    <w:rsid w:val="0BBA4428"/>
    <w:rsid w:val="20BD10A5"/>
    <w:rsid w:val="2AF91C9E"/>
    <w:rsid w:val="31862BDB"/>
    <w:rsid w:val="31AC630C"/>
    <w:rsid w:val="4A015C00"/>
    <w:rsid w:val="54D413B8"/>
    <w:rsid w:val="56062A2F"/>
    <w:rsid w:val="564B12B9"/>
    <w:rsid w:val="596C3F71"/>
    <w:rsid w:val="64E8667D"/>
    <w:rsid w:val="6F34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autoRedefine/>
    <w:qFormat/>
    <w:uiPriority w:val="0"/>
    <w:pPr>
      <w:ind w:right="-1675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  <w:style w:type="character" w:customStyle="1" w:styleId="8">
    <w:name w:val="正文文本 Char"/>
    <w:basedOn w:val="5"/>
    <w:link w:val="2"/>
    <w:autoRedefine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9">
    <w:name w:val="页脚 Char"/>
    <w:basedOn w:val="5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2767</Words>
  <Characters>2849</Characters>
  <Lines>25</Lines>
  <Paragraphs>7</Paragraphs>
  <TotalTime>11</TotalTime>
  <ScaleCrop>false</ScaleCrop>
  <LinksUpToDate>false</LinksUpToDate>
  <CharactersWithSpaces>3237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2021-03-19T04:13:00Z</dcterms:created>
  <dc:creator>风轻无痕</dc:creator>
  <cp:lastModifiedBy>霹雳风雷</cp:lastModifiedBy>
  <dcterms:modified xsi:type="dcterms:W3CDTF">2026-03-12T13:10:26Z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23E1552177964FDD9F72398A9B3131B7_13</vt:lpwstr>
  </property>
</Properties>
</file>