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F398284">
      <w:pPr>
        <w:jc w:val="center"/>
        <w:rPr>
          <w:rFonts w:ascii="黑体" w:hAnsi="黑体" w:eastAsia="黑体"/>
          <w:b/>
          <w:sz w:val="10"/>
          <w:szCs w:val="10"/>
        </w:rPr>
      </w:pPr>
    </w:p>
    <w:p w14:paraId="0977E179">
      <w:pPr>
        <w:jc w:val="center"/>
        <w:rPr>
          <w:rFonts w:ascii="黑体" w:hAnsi="黑体" w:eastAsia="黑体"/>
          <w:sz w:val="10"/>
          <w:szCs w:val="10"/>
        </w:rPr>
      </w:pPr>
    </w:p>
    <w:p w14:paraId="6A99A7FC">
      <w:pPr>
        <w:jc w:val="center"/>
        <w:rPr>
          <w:rFonts w:ascii="黑体" w:hAnsi="黑体" w:eastAsia="黑体"/>
          <w:sz w:val="10"/>
          <w:szCs w:val="10"/>
        </w:rPr>
      </w:pPr>
    </w:p>
    <w:p w14:paraId="27E27F01">
      <w:pPr>
        <w:jc w:val="center"/>
        <w:rPr>
          <w:rFonts w:ascii="黑体" w:hAnsi="黑体" w:eastAsia="黑体"/>
          <w:sz w:val="84"/>
        </w:rPr>
      </w:pPr>
      <w:r>
        <w:rPr>
          <w:rFonts w:hint="eastAsia" w:ascii="黑体" w:hAnsi="黑体" w:eastAsia="黑体"/>
          <w:sz w:val="84"/>
        </w:rPr>
        <w:t>乐山师范学院</w:t>
      </w:r>
    </w:p>
    <w:p w14:paraId="091B2403">
      <w:pPr>
        <w:jc w:val="center"/>
        <w:rPr>
          <w:rFonts w:ascii="黑体" w:hAnsi="黑体" w:eastAsia="黑体"/>
          <w:b/>
          <w:sz w:val="10"/>
          <w:szCs w:val="10"/>
        </w:rPr>
      </w:pPr>
    </w:p>
    <w:p w14:paraId="4A4453CB">
      <w:pPr>
        <w:jc w:val="center"/>
        <w:rPr>
          <w:rFonts w:ascii="黑体" w:hAnsi="黑体" w:eastAsia="黑体"/>
          <w:b/>
          <w:sz w:val="10"/>
          <w:szCs w:val="10"/>
        </w:rPr>
      </w:pPr>
    </w:p>
    <w:p w14:paraId="597B4FB9">
      <w:pPr>
        <w:jc w:val="center"/>
        <w:rPr>
          <w:rFonts w:ascii="黑体" w:hAnsi="黑体" w:eastAsia="黑体"/>
          <w:b/>
          <w:sz w:val="10"/>
          <w:szCs w:val="10"/>
        </w:rPr>
      </w:pPr>
    </w:p>
    <w:p w14:paraId="4BA191DF">
      <w:pPr>
        <w:jc w:val="center"/>
        <w:rPr>
          <w:rFonts w:ascii="楷体" w:hAnsi="楷体" w:eastAsia="楷体"/>
          <w:sz w:val="72"/>
          <w:szCs w:val="72"/>
        </w:rPr>
      </w:pPr>
      <w:r>
        <w:rPr>
          <w:rFonts w:hint="eastAsia" w:ascii="楷体" w:hAnsi="楷体" w:eastAsia="楷体"/>
          <w:sz w:val="72"/>
          <w:szCs w:val="72"/>
        </w:rPr>
        <w:t>教师教学工作计划</w:t>
      </w:r>
    </w:p>
    <w:p w14:paraId="0CEE8DEF">
      <w:pPr>
        <w:spacing w:line="1400" w:lineRule="exact"/>
        <w:ind w:left="1368"/>
        <w:rPr>
          <w:rFonts w:ascii="宋体" w:hAnsi="宋体"/>
          <w:sz w:val="44"/>
          <w:szCs w:val="44"/>
        </w:rPr>
      </w:pPr>
    </w:p>
    <w:p w14:paraId="37A0BE96">
      <w:pPr>
        <w:spacing w:line="1400" w:lineRule="exact"/>
        <w:ind w:left="1368"/>
        <w:rPr>
          <w:rFonts w:ascii="宋体" w:hAnsi="宋体"/>
          <w:sz w:val="44"/>
          <w:szCs w:val="44"/>
          <w:u w:val="single"/>
          <w:lang w:val="en-GB"/>
        </w:rPr>
      </w:pPr>
      <w:r>
        <w:rPr>
          <w:rFonts w:hint="eastAsia" w:ascii="宋体" w:hAnsi="宋体"/>
          <w:sz w:val="44"/>
          <w:szCs w:val="44"/>
        </w:rPr>
        <w:t>课程名称:</w:t>
      </w:r>
      <w:r>
        <w:rPr>
          <w:rFonts w:ascii="宋体" w:hAnsi="宋体"/>
          <w:sz w:val="44"/>
          <w:szCs w:val="44"/>
          <w:u w:val="single"/>
          <w:lang w:val="en-GB"/>
        </w:rPr>
        <w:t xml:space="preserve"> </w:t>
      </w:r>
      <w:r>
        <w:rPr>
          <w:rFonts w:hint="eastAsia" w:ascii="宋体" w:hAnsi="宋体"/>
          <w:sz w:val="44"/>
          <w:szCs w:val="44"/>
          <w:u w:val="single"/>
          <w:lang w:val="en-GB"/>
        </w:rPr>
        <w:t xml:space="preserve">  常</w:t>
      </w:r>
      <w:r>
        <w:rPr>
          <w:rFonts w:ascii="宋体" w:hAnsi="宋体"/>
          <w:sz w:val="44"/>
          <w:szCs w:val="44"/>
          <w:u w:val="single"/>
          <w:lang w:val="en-GB"/>
        </w:rPr>
        <w:t xml:space="preserve">微分方程  </w:t>
      </w:r>
      <w:r>
        <w:rPr>
          <w:rFonts w:hint="eastAsia" w:ascii="宋体" w:hAnsi="宋体"/>
          <w:sz w:val="44"/>
          <w:szCs w:val="44"/>
          <w:u w:val="single"/>
          <w:lang w:val="en-GB"/>
        </w:rPr>
        <w:t xml:space="preserve"> </w:t>
      </w:r>
      <w:r>
        <w:rPr>
          <w:rFonts w:ascii="宋体" w:hAnsi="宋体"/>
          <w:sz w:val="44"/>
          <w:szCs w:val="44"/>
          <w:u w:val="single"/>
          <w:lang w:val="en-GB"/>
        </w:rPr>
        <w:t xml:space="preserve"> </w:t>
      </w:r>
    </w:p>
    <w:p w14:paraId="63F6E15A">
      <w:pPr>
        <w:spacing w:line="1400" w:lineRule="exact"/>
        <w:ind w:firstLine="1368" w:firstLineChars="311"/>
        <w:rPr>
          <w:rFonts w:ascii="宋体" w:hAnsi="宋体"/>
          <w:sz w:val="44"/>
          <w:szCs w:val="44"/>
          <w:lang w:val="en-GB"/>
        </w:rPr>
      </w:pPr>
      <w:r>
        <w:rPr>
          <w:rFonts w:hint="eastAsia" w:ascii="宋体" w:hAnsi="宋体"/>
          <w:sz w:val="44"/>
          <w:szCs w:val="44"/>
        </w:rPr>
        <w:t>任课教师</w:t>
      </w:r>
      <w:r>
        <w:rPr>
          <w:rFonts w:hint="eastAsia" w:ascii="宋体" w:hAnsi="宋体"/>
          <w:sz w:val="44"/>
          <w:szCs w:val="44"/>
          <w:lang w:val="en-GB"/>
        </w:rPr>
        <w:t>:</w:t>
      </w:r>
      <w:r>
        <w:rPr>
          <w:rFonts w:hint="eastAsia" w:ascii="宋体" w:hAnsi="宋体"/>
          <w:sz w:val="44"/>
          <w:szCs w:val="44"/>
          <w:u w:val="single"/>
          <w:lang w:val="en-US" w:eastAsia="zh-CN"/>
        </w:rPr>
        <w:t xml:space="preserve">     </w:t>
      </w:r>
      <w:r>
        <w:rPr>
          <w:rFonts w:hint="eastAsia" w:ascii="宋体" w:hAnsi="宋体"/>
          <w:sz w:val="44"/>
          <w:szCs w:val="44"/>
          <w:u w:val="single"/>
          <w:lang w:val="en-GB"/>
        </w:rPr>
        <w:t>侯利元</w:t>
      </w:r>
      <w:r>
        <w:rPr>
          <w:rFonts w:hint="eastAsia" w:ascii="宋体" w:hAnsi="宋体"/>
          <w:sz w:val="44"/>
          <w:szCs w:val="44"/>
          <w:u w:val="single"/>
          <w:lang w:val="en-US" w:eastAsia="zh-CN"/>
        </w:rPr>
        <w:t xml:space="preserve">   </w:t>
      </w:r>
      <w:r>
        <w:rPr>
          <w:rFonts w:hint="eastAsia" w:ascii="宋体" w:hAnsi="宋体"/>
          <w:sz w:val="44"/>
          <w:szCs w:val="44"/>
          <w:u w:val="single"/>
          <w:lang w:val="en-GB"/>
        </w:rPr>
        <w:t xml:space="preserve">   </w:t>
      </w:r>
    </w:p>
    <w:p w14:paraId="416E1CC5">
      <w:pPr>
        <w:spacing w:line="1100" w:lineRule="exact"/>
        <w:rPr>
          <w:rFonts w:ascii="宋体" w:hAnsi="宋体"/>
          <w:sz w:val="44"/>
          <w:szCs w:val="44"/>
          <w:u w:val="single"/>
        </w:rPr>
      </w:pPr>
      <w:r>
        <w:rPr>
          <w:rFonts w:hint="eastAsia" w:ascii="宋体" w:hAnsi="宋体"/>
          <w:sz w:val="44"/>
          <w:szCs w:val="44"/>
        </w:rPr>
        <w:t xml:space="preserve">   授课班级:</w:t>
      </w:r>
      <w:r>
        <w:rPr>
          <w:rFonts w:hint="eastAsia" w:ascii="宋体" w:hAnsi="宋体"/>
          <w:sz w:val="44"/>
          <w:szCs w:val="44"/>
          <w:u w:val="single"/>
        </w:rPr>
        <w:t xml:space="preserve">  数</w:t>
      </w:r>
      <w:r>
        <w:rPr>
          <w:rFonts w:hint="eastAsia" w:ascii="宋体" w:hAnsi="宋体"/>
          <w:sz w:val="44"/>
          <w:szCs w:val="44"/>
          <w:u w:val="single"/>
          <w:lang w:val="en-US" w:eastAsia="zh-CN"/>
        </w:rPr>
        <w:t>统24</w:t>
      </w:r>
      <w:r>
        <w:rPr>
          <w:rFonts w:hint="eastAsia" w:ascii="宋体" w:hAnsi="宋体"/>
          <w:sz w:val="44"/>
          <w:szCs w:val="44"/>
          <w:u w:val="single"/>
        </w:rPr>
        <w:t>级</w:t>
      </w:r>
      <w:r>
        <w:rPr>
          <w:rFonts w:hint="eastAsia" w:ascii="宋体" w:hAnsi="宋体"/>
          <w:sz w:val="44"/>
          <w:szCs w:val="44"/>
          <w:u w:val="single"/>
          <w:lang w:val="en-US" w:eastAsia="zh-CN"/>
        </w:rPr>
        <w:t>金融数学班</w:t>
      </w:r>
      <w:r>
        <w:rPr>
          <w:rFonts w:hint="eastAsia" w:ascii="宋体" w:hAnsi="宋体"/>
          <w:sz w:val="44"/>
          <w:szCs w:val="44"/>
          <w:u w:val="single"/>
        </w:rPr>
        <w:t xml:space="preserve"> </w:t>
      </w:r>
    </w:p>
    <w:p w14:paraId="04A20C01">
      <w:pPr>
        <w:spacing w:line="1400" w:lineRule="exact"/>
        <w:ind w:firstLine="1368" w:firstLineChars="311"/>
        <w:rPr>
          <w:rFonts w:hint="eastAsia" w:ascii="宋体" w:hAnsi="宋体"/>
          <w:sz w:val="44"/>
          <w:szCs w:val="44"/>
          <w:u w:val="single"/>
          <w:lang w:val="en-GB"/>
        </w:rPr>
      </w:pPr>
      <w:r>
        <w:rPr>
          <w:rFonts w:hint="eastAsia" w:ascii="宋体" w:hAnsi="宋体"/>
          <w:sz w:val="44"/>
          <w:szCs w:val="44"/>
        </w:rPr>
        <w:t>上交教研室时间：</w:t>
      </w:r>
      <w:r>
        <w:rPr>
          <w:rFonts w:ascii="宋体" w:hAnsi="宋体"/>
          <w:sz w:val="44"/>
          <w:szCs w:val="44"/>
          <w:u w:val="single"/>
          <w:lang w:val="en-GB"/>
        </w:rPr>
        <w:t xml:space="preserve"> 20</w:t>
      </w:r>
      <w:r>
        <w:rPr>
          <w:rFonts w:hint="eastAsia" w:ascii="宋体" w:hAnsi="宋体"/>
          <w:sz w:val="44"/>
          <w:szCs w:val="44"/>
          <w:u w:val="single"/>
          <w:lang w:val="en-US" w:eastAsia="zh-CN"/>
        </w:rPr>
        <w:t>26</w:t>
      </w:r>
      <w:r>
        <w:rPr>
          <w:rFonts w:hint="eastAsia" w:ascii="宋体" w:hAnsi="宋体"/>
          <w:sz w:val="44"/>
          <w:szCs w:val="44"/>
          <w:u w:val="single"/>
          <w:lang w:val="en-GB"/>
        </w:rPr>
        <w:t>.</w:t>
      </w:r>
      <w:r>
        <w:rPr>
          <w:rFonts w:hint="eastAsia" w:ascii="宋体" w:hAnsi="宋体"/>
          <w:sz w:val="44"/>
          <w:szCs w:val="44"/>
          <w:u w:val="single"/>
          <w:lang w:val="en-US" w:eastAsia="zh-CN"/>
        </w:rPr>
        <w:t>3</w:t>
      </w:r>
      <w:r>
        <w:rPr>
          <w:rFonts w:hint="eastAsia" w:ascii="宋体" w:hAnsi="宋体"/>
          <w:sz w:val="44"/>
          <w:szCs w:val="44"/>
          <w:u w:val="single"/>
          <w:lang w:val="en-GB"/>
        </w:rPr>
        <w:t>.</w:t>
      </w:r>
      <w:r>
        <w:rPr>
          <w:rFonts w:hint="eastAsia" w:ascii="宋体" w:hAnsi="宋体"/>
          <w:sz w:val="44"/>
          <w:szCs w:val="44"/>
          <w:u w:val="single"/>
        </w:rPr>
        <w:t>07</w:t>
      </w:r>
      <w:r>
        <w:rPr>
          <w:rFonts w:hint="eastAsia" w:ascii="宋体" w:hAnsi="宋体"/>
          <w:sz w:val="44"/>
          <w:szCs w:val="44"/>
          <w:u w:val="single"/>
          <w:lang w:val="en-GB"/>
        </w:rPr>
        <w:t xml:space="preserve"> </w:t>
      </w:r>
    </w:p>
    <w:p w14:paraId="08602AD8">
      <w:pPr>
        <w:spacing w:line="1400" w:lineRule="exact"/>
        <w:ind w:firstLine="1368" w:firstLineChars="311"/>
        <w:rPr>
          <w:rFonts w:hint="eastAsia" w:ascii="宋体" w:hAnsi="宋体"/>
          <w:sz w:val="44"/>
          <w:szCs w:val="44"/>
          <w:u w:val="single"/>
          <w:lang w:val="en-GB"/>
        </w:rPr>
      </w:pPr>
    </w:p>
    <w:p w14:paraId="48B130C4">
      <w:pPr>
        <w:rPr>
          <w:rFonts w:ascii="宋体" w:hAnsi="宋体"/>
          <w:sz w:val="44"/>
          <w:szCs w:val="44"/>
          <w:lang w:val="en-GB"/>
        </w:rPr>
      </w:pPr>
    </w:p>
    <w:p w14:paraId="15B7C635">
      <w:pPr>
        <w:jc w:val="center"/>
        <w:outlineLvl w:val="0"/>
        <w:rPr>
          <w:rFonts w:ascii="宋体" w:hAnsi="宋体"/>
          <w:sz w:val="44"/>
          <w:szCs w:val="44"/>
        </w:rPr>
      </w:pPr>
      <w:r>
        <w:rPr>
          <w:rFonts w:hint="eastAsia" w:ascii="宋体" w:hAnsi="宋体"/>
          <w:sz w:val="44"/>
          <w:szCs w:val="44"/>
        </w:rPr>
        <w:t>20</w:t>
      </w:r>
      <w:r>
        <w:rPr>
          <w:rFonts w:hint="eastAsia" w:ascii="宋体" w:hAnsi="宋体"/>
          <w:sz w:val="44"/>
          <w:szCs w:val="44"/>
          <w:lang w:val="en-US" w:eastAsia="zh-CN"/>
        </w:rPr>
        <w:t>25</w:t>
      </w:r>
      <w:r>
        <w:rPr>
          <w:rFonts w:hint="eastAsia" w:ascii="宋体" w:hAnsi="宋体"/>
          <w:sz w:val="44"/>
          <w:szCs w:val="44"/>
        </w:rPr>
        <w:t>—202</w:t>
      </w:r>
      <w:r>
        <w:rPr>
          <w:rFonts w:hint="eastAsia" w:ascii="宋体" w:hAnsi="宋体"/>
          <w:sz w:val="44"/>
          <w:szCs w:val="44"/>
          <w:lang w:val="en-US" w:eastAsia="zh-CN"/>
        </w:rPr>
        <w:t>6</w:t>
      </w:r>
      <w:r>
        <w:rPr>
          <w:rFonts w:hint="eastAsia" w:ascii="宋体" w:hAnsi="宋体"/>
          <w:sz w:val="44"/>
          <w:szCs w:val="44"/>
        </w:rPr>
        <w:t xml:space="preserve">学年度第 </w:t>
      </w:r>
      <w:r>
        <w:rPr>
          <w:rFonts w:hint="eastAsia" w:ascii="宋体" w:hAnsi="宋体"/>
          <w:sz w:val="44"/>
          <w:szCs w:val="44"/>
          <w:lang w:val="en-US" w:eastAsia="zh-CN"/>
        </w:rPr>
        <w:t>2</w:t>
      </w:r>
      <w:r>
        <w:rPr>
          <w:rFonts w:ascii="宋体" w:hAnsi="宋体"/>
          <w:sz w:val="44"/>
          <w:szCs w:val="44"/>
        </w:rPr>
        <w:t xml:space="preserve"> </w:t>
      </w:r>
      <w:r>
        <w:rPr>
          <w:rFonts w:hint="eastAsia" w:ascii="宋体" w:hAnsi="宋体"/>
          <w:sz w:val="44"/>
          <w:szCs w:val="44"/>
        </w:rPr>
        <w:t>学期</w:t>
      </w:r>
    </w:p>
    <w:p w14:paraId="051E9EB6">
      <w:pPr>
        <w:jc w:val="center"/>
        <w:outlineLvl w:val="0"/>
        <w:rPr>
          <w:rFonts w:ascii="宋体" w:hAnsi="宋体"/>
          <w:sz w:val="44"/>
          <w:szCs w:val="44"/>
        </w:rPr>
      </w:pPr>
    </w:p>
    <w:p w14:paraId="4F1D2422">
      <w:pPr>
        <w:jc w:val="center"/>
        <w:outlineLvl w:val="0"/>
        <w:rPr>
          <w:rFonts w:ascii="宋体" w:hAnsi="宋体"/>
          <w:sz w:val="44"/>
          <w:szCs w:val="44"/>
          <w:lang w:val="en-GB"/>
        </w:rPr>
      </w:pPr>
    </w:p>
    <w:p w14:paraId="0E1572D5">
      <w:pPr>
        <w:spacing w:line="420" w:lineRule="exact"/>
        <w:jc w:val="center"/>
        <w:outlineLvl w:val="0"/>
        <w:rPr>
          <w:rFonts w:ascii="宋体" w:hAnsi="宋体"/>
          <w:sz w:val="36"/>
          <w:szCs w:val="36"/>
          <w:lang w:val="en-GB"/>
        </w:rPr>
      </w:pPr>
      <w:r>
        <w:rPr>
          <w:rFonts w:hint="eastAsia" w:ascii="宋体" w:hAnsi="宋体"/>
          <w:sz w:val="36"/>
          <w:szCs w:val="36"/>
          <w:lang w:val="en-GB"/>
        </w:rPr>
        <w:t>说    明</w:t>
      </w:r>
    </w:p>
    <w:p w14:paraId="3B3C9BBD">
      <w:pPr>
        <w:spacing w:line="420" w:lineRule="exact"/>
        <w:rPr>
          <w:rFonts w:ascii="宋体" w:hAnsi="宋体"/>
          <w:sz w:val="10"/>
          <w:szCs w:val="10"/>
          <w:lang w:val="en-GB"/>
        </w:rPr>
      </w:pPr>
    </w:p>
    <w:p w14:paraId="142C2D80">
      <w:pPr>
        <w:spacing w:line="420" w:lineRule="exact"/>
        <w:rPr>
          <w:rFonts w:ascii="宋体" w:hAnsi="宋体"/>
          <w:sz w:val="10"/>
          <w:szCs w:val="10"/>
          <w:lang w:val="en-GB"/>
        </w:rPr>
      </w:pPr>
    </w:p>
    <w:p w14:paraId="5A638ED7">
      <w:pPr>
        <w:spacing w:line="420" w:lineRule="exact"/>
        <w:ind w:firstLine="480" w:firstLineChars="200"/>
        <w:rPr>
          <w:rFonts w:ascii="宋体" w:hAnsi="宋体"/>
          <w:sz w:val="24"/>
        </w:rPr>
      </w:pPr>
      <w:r>
        <w:rPr>
          <w:rFonts w:hint="eastAsia" w:ascii="宋体" w:hAnsi="宋体"/>
          <w:sz w:val="24"/>
        </w:rPr>
        <w:t>一、教学工作计划一般应有以下内容。</w:t>
      </w:r>
    </w:p>
    <w:p w14:paraId="0EFBD0EF">
      <w:pPr>
        <w:spacing w:line="420" w:lineRule="exact"/>
        <w:ind w:firstLine="480" w:firstLineChars="200"/>
        <w:rPr>
          <w:rFonts w:ascii="宋体" w:hAnsi="宋体"/>
          <w:sz w:val="24"/>
        </w:rPr>
      </w:pPr>
      <w:r>
        <w:rPr>
          <w:rFonts w:hint="eastAsia" w:ascii="宋体" w:hAnsi="宋体"/>
          <w:sz w:val="24"/>
        </w:rPr>
        <w:t>1、教学目的要求。</w:t>
      </w:r>
    </w:p>
    <w:p w14:paraId="47B896B2">
      <w:pPr>
        <w:spacing w:line="420" w:lineRule="exact"/>
        <w:ind w:firstLine="480" w:firstLineChars="200"/>
        <w:rPr>
          <w:rFonts w:ascii="宋体" w:hAnsi="宋体"/>
          <w:sz w:val="24"/>
        </w:rPr>
      </w:pPr>
      <w:r>
        <w:rPr>
          <w:rFonts w:hint="eastAsia" w:ascii="宋体" w:hAnsi="宋体"/>
          <w:sz w:val="24"/>
        </w:rPr>
        <w:t>2、选用教材名、编者、版本，教师备课主要参考书节，介绍给学生的阅读参考书目。</w:t>
      </w:r>
    </w:p>
    <w:p w14:paraId="269C1495">
      <w:pPr>
        <w:spacing w:line="420" w:lineRule="exact"/>
        <w:ind w:firstLine="480" w:firstLineChars="200"/>
        <w:rPr>
          <w:rFonts w:ascii="宋体" w:hAnsi="宋体"/>
          <w:sz w:val="24"/>
        </w:rPr>
      </w:pPr>
      <w:r>
        <w:rPr>
          <w:rFonts w:hint="eastAsia" w:ascii="宋体" w:hAnsi="宋体"/>
          <w:sz w:val="24"/>
        </w:rPr>
        <w:t>3、改革教学方法，提高教学质量的具体措施，如：</w:t>
      </w:r>
    </w:p>
    <w:p w14:paraId="67810E11">
      <w:pPr>
        <w:spacing w:line="420" w:lineRule="exact"/>
        <w:ind w:firstLine="480" w:firstLineChars="200"/>
        <w:rPr>
          <w:rFonts w:ascii="宋体" w:hAnsi="宋体"/>
          <w:sz w:val="24"/>
        </w:rPr>
      </w:pPr>
      <w:r>
        <w:rPr>
          <w:rFonts w:hint="eastAsia" w:ascii="宋体" w:hAnsi="宋体"/>
          <w:sz w:val="24"/>
        </w:rPr>
        <w:t>（1）处理教材，改革教学方法，培养学生自学的基本考虑。</w:t>
      </w:r>
    </w:p>
    <w:p w14:paraId="65D5F839">
      <w:pPr>
        <w:spacing w:line="420" w:lineRule="exact"/>
        <w:ind w:firstLine="480" w:firstLineChars="200"/>
        <w:rPr>
          <w:rFonts w:ascii="宋体" w:hAnsi="宋体"/>
          <w:sz w:val="24"/>
        </w:rPr>
      </w:pPr>
      <w:r>
        <w:rPr>
          <w:rFonts w:hint="eastAsia" w:ascii="宋体" w:hAnsi="宋体"/>
          <w:sz w:val="24"/>
        </w:rPr>
        <w:t>（2）作业方式、作业量、作业处理方式。</w:t>
      </w:r>
    </w:p>
    <w:p w14:paraId="5B785C5A">
      <w:pPr>
        <w:spacing w:line="420" w:lineRule="exact"/>
        <w:ind w:firstLine="480" w:firstLineChars="200"/>
        <w:rPr>
          <w:rFonts w:ascii="宋体" w:hAnsi="宋体"/>
          <w:sz w:val="24"/>
        </w:rPr>
      </w:pPr>
      <w:r>
        <w:rPr>
          <w:rFonts w:hint="eastAsia" w:ascii="宋体" w:hAnsi="宋体"/>
          <w:sz w:val="24"/>
        </w:rPr>
        <w:t>（3）成绩考核措施。</w:t>
      </w:r>
    </w:p>
    <w:p w14:paraId="36BBB3C7">
      <w:pPr>
        <w:spacing w:line="420" w:lineRule="exact"/>
        <w:ind w:firstLine="480" w:firstLineChars="200"/>
        <w:rPr>
          <w:rFonts w:ascii="宋体" w:hAnsi="宋体"/>
          <w:sz w:val="24"/>
        </w:rPr>
      </w:pPr>
      <w:r>
        <w:rPr>
          <w:rFonts w:hint="eastAsia" w:ascii="宋体" w:hAnsi="宋体"/>
          <w:sz w:val="24"/>
        </w:rPr>
        <w:t>（4）辅导措施。</w:t>
      </w:r>
    </w:p>
    <w:p w14:paraId="24F604BE">
      <w:pPr>
        <w:spacing w:line="420" w:lineRule="exact"/>
        <w:ind w:firstLine="480" w:firstLineChars="200"/>
        <w:rPr>
          <w:rFonts w:ascii="宋体" w:hAnsi="宋体"/>
          <w:sz w:val="24"/>
        </w:rPr>
      </w:pPr>
      <w:r>
        <w:rPr>
          <w:rFonts w:hint="eastAsia" w:ascii="宋体" w:hAnsi="宋体"/>
          <w:sz w:val="24"/>
        </w:rPr>
        <w:t>（5）除通常的讲授课、习题课、实验课、讨论课外，打算安排哪些其它的教学活动。</w:t>
      </w:r>
    </w:p>
    <w:p w14:paraId="7E3CBCAE">
      <w:pPr>
        <w:spacing w:line="420" w:lineRule="exact"/>
        <w:ind w:firstLine="480" w:firstLineChars="200"/>
        <w:rPr>
          <w:rFonts w:ascii="宋体" w:hAnsi="宋体"/>
          <w:sz w:val="24"/>
        </w:rPr>
      </w:pPr>
      <w:r>
        <w:rPr>
          <w:rFonts w:hint="eastAsia" w:ascii="宋体" w:hAnsi="宋体"/>
          <w:sz w:val="24"/>
        </w:rPr>
        <w:t>（6）对学生的其它要求。</w:t>
      </w:r>
    </w:p>
    <w:p w14:paraId="18966C0B">
      <w:pPr>
        <w:spacing w:line="420" w:lineRule="exact"/>
        <w:ind w:firstLine="480" w:firstLineChars="200"/>
        <w:rPr>
          <w:rFonts w:ascii="宋体" w:hAnsi="宋体"/>
          <w:sz w:val="24"/>
        </w:rPr>
      </w:pPr>
      <w:r>
        <w:rPr>
          <w:rFonts w:hint="eastAsia" w:ascii="宋体" w:hAnsi="宋体"/>
          <w:sz w:val="24"/>
        </w:rPr>
        <w:t>（以上三项可按学期编写，也可按课程周期编写）</w:t>
      </w:r>
    </w:p>
    <w:p w14:paraId="2BCFA721">
      <w:pPr>
        <w:spacing w:line="420" w:lineRule="exact"/>
        <w:ind w:firstLine="480" w:firstLineChars="200"/>
        <w:rPr>
          <w:rFonts w:ascii="宋体" w:hAnsi="宋体"/>
          <w:sz w:val="24"/>
        </w:rPr>
      </w:pPr>
      <w:r>
        <w:rPr>
          <w:rFonts w:hint="eastAsia" w:ascii="宋体" w:hAnsi="宋体"/>
          <w:sz w:val="24"/>
        </w:rPr>
        <w:t>4、教学进度（此项必须按学期填入附表，并向学生公布）。</w:t>
      </w:r>
    </w:p>
    <w:p w14:paraId="18E5F76E">
      <w:pPr>
        <w:spacing w:line="420" w:lineRule="exact"/>
        <w:ind w:firstLine="480" w:firstLineChars="200"/>
        <w:rPr>
          <w:rFonts w:ascii="宋体" w:hAnsi="宋体"/>
          <w:sz w:val="24"/>
        </w:rPr>
      </w:pPr>
      <w:r>
        <w:rPr>
          <w:rFonts w:hint="eastAsia" w:ascii="宋体" w:hAnsi="宋体"/>
          <w:sz w:val="24"/>
        </w:rPr>
        <w:t>5、需要提供的教具或其它教学条件。</w:t>
      </w:r>
    </w:p>
    <w:p w14:paraId="746109A1">
      <w:pPr>
        <w:spacing w:line="420" w:lineRule="exact"/>
        <w:ind w:firstLine="480" w:firstLineChars="200"/>
        <w:rPr>
          <w:rFonts w:ascii="宋体" w:hAnsi="宋体"/>
          <w:sz w:val="24"/>
        </w:rPr>
      </w:pPr>
      <w:r>
        <w:rPr>
          <w:rFonts w:hint="eastAsia" w:ascii="宋体" w:hAnsi="宋体"/>
          <w:sz w:val="24"/>
        </w:rPr>
        <w:t>二、安排专人辅导工作，从事实验室建设，备课，进修的教师也应制订计划，一般应写明工作、学习的主要任务、目标及落实措施。</w:t>
      </w:r>
    </w:p>
    <w:p w14:paraId="2E1D3A32">
      <w:pPr>
        <w:spacing w:line="420" w:lineRule="exact"/>
        <w:ind w:firstLine="480" w:firstLineChars="200"/>
        <w:rPr>
          <w:rFonts w:ascii="宋体" w:hAnsi="宋体"/>
          <w:sz w:val="24"/>
        </w:rPr>
      </w:pPr>
      <w:r>
        <w:rPr>
          <w:rFonts w:hint="eastAsia" w:ascii="宋体" w:hAnsi="宋体"/>
          <w:sz w:val="24"/>
        </w:rPr>
        <w:t>三、本计划一式两份，一份自存，一份于开学后第一周内交教研室审查、补充修改后于第二周内交系。</w:t>
      </w:r>
    </w:p>
    <w:p w14:paraId="4E24AFBC">
      <w:pPr>
        <w:spacing w:line="420" w:lineRule="exact"/>
        <w:ind w:firstLine="480" w:firstLineChars="200"/>
        <w:rPr>
          <w:rFonts w:ascii="宋体" w:hAnsi="宋体"/>
          <w:sz w:val="24"/>
        </w:rPr>
      </w:pPr>
      <w:r>
        <w:rPr>
          <w:rFonts w:hint="eastAsia" w:ascii="宋体" w:hAnsi="宋体"/>
          <w:sz w:val="24"/>
        </w:rPr>
        <w:t>四、辅导教师的工作计划应由主讲教师指导编写。</w:t>
      </w:r>
    </w:p>
    <w:p w14:paraId="38D422CE">
      <w:pPr>
        <w:spacing w:line="420" w:lineRule="exact"/>
        <w:ind w:firstLine="480" w:firstLineChars="200"/>
        <w:rPr>
          <w:rFonts w:ascii="宋体" w:hAnsi="宋体"/>
          <w:sz w:val="24"/>
        </w:rPr>
      </w:pPr>
      <w:r>
        <w:rPr>
          <w:rFonts w:hint="eastAsia" w:ascii="宋体" w:hAnsi="宋体"/>
          <w:sz w:val="24"/>
        </w:rPr>
        <w:t>五、教师工作计划执行情况每学期应由教研室主任做两次检查记录。</w:t>
      </w:r>
    </w:p>
    <w:p w14:paraId="7527B21C">
      <w:pPr>
        <w:spacing w:line="420" w:lineRule="exact"/>
        <w:ind w:firstLine="480" w:firstLineChars="200"/>
        <w:rPr>
          <w:rFonts w:ascii="宋体" w:hAnsi="宋体"/>
          <w:sz w:val="24"/>
        </w:rPr>
      </w:pPr>
      <w:r>
        <w:rPr>
          <w:rFonts w:hint="eastAsia" w:ascii="宋体" w:hAnsi="宋体"/>
          <w:sz w:val="24"/>
        </w:rPr>
        <w:t>六、教师工作计划一学年归档一次。</w:t>
      </w:r>
    </w:p>
    <w:p w14:paraId="38593583">
      <w:pPr>
        <w:spacing w:line="420" w:lineRule="exact"/>
        <w:rPr>
          <w:rFonts w:ascii="宋体" w:hAnsi="宋体"/>
          <w:sz w:val="24"/>
        </w:rPr>
      </w:pPr>
    </w:p>
    <w:p w14:paraId="6CF3046A">
      <w:pPr>
        <w:spacing w:line="420" w:lineRule="exact"/>
        <w:rPr>
          <w:rFonts w:ascii="宋体" w:hAnsi="宋体"/>
          <w:sz w:val="24"/>
        </w:rPr>
      </w:pPr>
    </w:p>
    <w:p w14:paraId="3C934F20">
      <w:pPr>
        <w:spacing w:line="420" w:lineRule="exact"/>
        <w:rPr>
          <w:rFonts w:ascii="宋体" w:hAnsi="宋体"/>
          <w:sz w:val="24"/>
        </w:rPr>
      </w:pPr>
    </w:p>
    <w:p w14:paraId="17D8EEFF">
      <w:pPr>
        <w:spacing w:line="420" w:lineRule="exact"/>
        <w:rPr>
          <w:rFonts w:ascii="宋体" w:hAnsi="宋体"/>
          <w:sz w:val="24"/>
        </w:rPr>
      </w:pPr>
    </w:p>
    <w:p w14:paraId="40F05435">
      <w:pPr>
        <w:spacing w:line="420" w:lineRule="exact"/>
        <w:rPr>
          <w:rFonts w:ascii="宋体" w:hAnsi="宋体"/>
          <w:sz w:val="24"/>
        </w:rPr>
      </w:pPr>
    </w:p>
    <w:p w14:paraId="63380EC2">
      <w:pPr>
        <w:spacing w:line="420" w:lineRule="exact"/>
        <w:rPr>
          <w:rFonts w:ascii="宋体" w:hAnsi="宋体"/>
          <w:sz w:val="24"/>
        </w:rPr>
      </w:pPr>
    </w:p>
    <w:p w14:paraId="3E216E53">
      <w:pPr>
        <w:spacing w:line="420" w:lineRule="exact"/>
        <w:rPr>
          <w:rFonts w:ascii="宋体" w:hAnsi="宋体"/>
          <w:sz w:val="24"/>
        </w:rPr>
      </w:pPr>
    </w:p>
    <w:p w14:paraId="124439D7">
      <w:pPr>
        <w:spacing w:line="420" w:lineRule="exact"/>
        <w:jc w:val="center"/>
        <w:rPr>
          <w:rFonts w:ascii="宋体" w:hAnsi="宋体"/>
          <w:sz w:val="10"/>
          <w:szCs w:val="10"/>
        </w:rPr>
      </w:pPr>
      <w:r>
        <w:rPr>
          <w:rFonts w:hint="eastAsia" w:ascii="宋体" w:hAnsi="宋体"/>
          <w:sz w:val="36"/>
          <w:szCs w:val="36"/>
        </w:rPr>
        <w:t>教学计划内容</w:t>
      </w:r>
    </w:p>
    <w:p w14:paraId="114A39B1">
      <w:pPr>
        <w:spacing w:line="420" w:lineRule="exact"/>
        <w:ind w:firstLine="472" w:firstLineChars="196"/>
        <w:outlineLvl w:val="0"/>
        <w:rPr>
          <w:b/>
          <w:sz w:val="24"/>
        </w:rPr>
      </w:pPr>
      <w:r>
        <w:rPr>
          <w:rFonts w:hint="eastAsia"/>
          <w:b/>
          <w:sz w:val="24"/>
        </w:rPr>
        <w:t>一、教学目的</w:t>
      </w:r>
    </w:p>
    <w:p w14:paraId="0C7D1FA3">
      <w:pPr>
        <w:spacing w:line="360" w:lineRule="auto"/>
        <w:jc w:val="left"/>
        <w:rPr>
          <w:sz w:val="24"/>
        </w:rPr>
      </w:pPr>
      <w:r>
        <w:rPr>
          <w:rFonts w:hint="eastAsia"/>
          <w:sz w:val="24"/>
        </w:rPr>
        <w:t xml:space="preserve">    </w:t>
      </w:r>
      <w:r>
        <w:rPr>
          <w:sz w:val="24"/>
        </w:rPr>
        <w:t>学习和逐步掌握常微分方程的基本理论和</w:t>
      </w:r>
      <w:r>
        <w:rPr>
          <w:rFonts w:hint="eastAsia"/>
          <w:sz w:val="24"/>
        </w:rPr>
        <w:t>基本</w:t>
      </w:r>
      <w:r>
        <w:rPr>
          <w:sz w:val="24"/>
        </w:rPr>
        <w:t>方法，</w:t>
      </w:r>
      <w:r>
        <w:rPr>
          <w:rFonts w:hint="eastAsia"/>
          <w:sz w:val="24"/>
        </w:rPr>
        <w:t>适当补充应用实例，让学生</w:t>
      </w:r>
      <w:r>
        <w:rPr>
          <w:sz w:val="24"/>
        </w:rPr>
        <w:t>学习解决确定性数学模型的思想方法，把数学理论和方法运用到解决实际问题中去。本课程要求学生能熟练掌握各类微分方程的基本解法，理解和掌握常微分方程的基本理论</w:t>
      </w:r>
      <w:r>
        <w:rPr>
          <w:rFonts w:hint="eastAsia"/>
          <w:sz w:val="24"/>
        </w:rPr>
        <w:t>，即</w:t>
      </w:r>
      <w:r>
        <w:rPr>
          <w:sz w:val="24"/>
        </w:rPr>
        <w:t>存在唯一性定理和线性常微分方程的基本理论。</w:t>
      </w:r>
    </w:p>
    <w:p w14:paraId="2CBECB75">
      <w:pPr>
        <w:spacing w:line="420" w:lineRule="exact"/>
        <w:ind w:firstLine="472" w:firstLineChars="196"/>
        <w:outlineLvl w:val="0"/>
        <w:rPr>
          <w:rFonts w:ascii="宋体" w:hAnsi="宋体"/>
          <w:b/>
          <w:sz w:val="24"/>
        </w:rPr>
      </w:pPr>
      <w:r>
        <w:rPr>
          <w:rFonts w:hint="eastAsia" w:ascii="宋体" w:hAnsi="宋体"/>
          <w:b/>
          <w:sz w:val="24"/>
        </w:rPr>
        <w:t>二、教学内容：</w:t>
      </w:r>
    </w:p>
    <w:p w14:paraId="36219A1C">
      <w:pPr>
        <w:spacing w:line="360" w:lineRule="auto"/>
        <w:ind w:firstLine="480" w:firstLineChars="200"/>
        <w:rPr>
          <w:sz w:val="24"/>
        </w:rPr>
      </w:pPr>
      <w:r>
        <w:rPr>
          <w:sz w:val="24"/>
        </w:rPr>
        <w:t>1．绪论：了解微分方程的</w:t>
      </w:r>
      <w:r>
        <w:rPr>
          <w:rFonts w:hint="eastAsia"/>
          <w:sz w:val="24"/>
        </w:rPr>
        <w:t>模型、</w:t>
      </w:r>
      <w:r>
        <w:rPr>
          <w:sz w:val="24"/>
        </w:rPr>
        <w:t>背景和基本概念</w:t>
      </w:r>
    </w:p>
    <w:p w14:paraId="25FE1A50">
      <w:pPr>
        <w:spacing w:line="360" w:lineRule="auto"/>
        <w:rPr>
          <w:sz w:val="24"/>
        </w:rPr>
      </w:pPr>
      <w:r>
        <w:rPr>
          <w:rFonts w:hint="eastAsia"/>
          <w:sz w:val="24"/>
        </w:rPr>
        <w:t xml:space="preserve">    </w:t>
      </w:r>
      <w:r>
        <w:rPr>
          <w:sz w:val="24"/>
        </w:rPr>
        <w:t>2．</w:t>
      </w:r>
      <w:r>
        <w:rPr>
          <w:rFonts w:hint="eastAsia"/>
          <w:sz w:val="24"/>
        </w:rPr>
        <w:t>一阶微分方程的</w:t>
      </w:r>
      <w:r>
        <w:rPr>
          <w:sz w:val="24"/>
        </w:rPr>
        <w:t>初等</w:t>
      </w:r>
      <w:r>
        <w:rPr>
          <w:rFonts w:hint="eastAsia"/>
          <w:sz w:val="24"/>
        </w:rPr>
        <w:t>解</w:t>
      </w:r>
      <w:r>
        <w:rPr>
          <w:sz w:val="24"/>
        </w:rPr>
        <w:t>法：</w:t>
      </w:r>
      <w:r>
        <w:rPr>
          <w:rFonts w:hint="eastAsia"/>
          <w:sz w:val="24"/>
          <w:lang w:val="en-US" w:eastAsia="zh-CN"/>
        </w:rPr>
        <w:t>能够辨析</w:t>
      </w:r>
      <w:r>
        <w:rPr>
          <w:sz w:val="24"/>
        </w:rPr>
        <w:t>各类一阶方程(变量分离方程、齐次方程、一阶线性方程、</w:t>
      </w:r>
      <w:r>
        <w:rPr>
          <w:rFonts w:hint="eastAsia"/>
          <w:sz w:val="24"/>
        </w:rPr>
        <w:t>恰当</w:t>
      </w:r>
      <w:r>
        <w:rPr>
          <w:sz w:val="24"/>
        </w:rPr>
        <w:t>微分方程</w:t>
      </w:r>
      <w:r>
        <w:rPr>
          <w:rFonts w:hint="eastAsia"/>
          <w:sz w:val="24"/>
        </w:rPr>
        <w:t>、一阶隐式微分</w:t>
      </w:r>
      <w:r>
        <w:rPr>
          <w:sz w:val="24"/>
        </w:rPr>
        <w:t>方程 )</w:t>
      </w:r>
      <w:r>
        <w:rPr>
          <w:rFonts w:hint="eastAsia"/>
          <w:sz w:val="24"/>
        </w:rPr>
        <w:t>，并能求解相关题目</w:t>
      </w:r>
      <w:r>
        <w:rPr>
          <w:sz w:val="24"/>
        </w:rPr>
        <w:t>。</w:t>
      </w:r>
    </w:p>
    <w:p w14:paraId="6F7F4782">
      <w:pPr>
        <w:spacing w:line="360" w:lineRule="auto"/>
        <w:rPr>
          <w:sz w:val="24"/>
        </w:rPr>
      </w:pPr>
      <w:r>
        <w:rPr>
          <w:rFonts w:hint="eastAsia"/>
          <w:sz w:val="24"/>
        </w:rPr>
        <w:t xml:space="preserve">    </w:t>
      </w:r>
      <w:r>
        <w:rPr>
          <w:sz w:val="24"/>
        </w:rPr>
        <w:t>3．存在唯一性定理：</w:t>
      </w:r>
      <w:r>
        <w:rPr>
          <w:rFonts w:hint="eastAsia"/>
          <w:sz w:val="24"/>
          <w:lang w:val="en-US" w:eastAsia="zh-CN"/>
        </w:rPr>
        <w:t>能够熟练叙述</w:t>
      </w:r>
      <w:r>
        <w:rPr>
          <w:sz w:val="24"/>
        </w:rPr>
        <w:t>存在唯一性定理</w:t>
      </w:r>
      <w:r>
        <w:rPr>
          <w:rFonts w:hint="eastAsia"/>
          <w:sz w:val="24"/>
          <w:lang w:eastAsia="zh-CN"/>
        </w:rPr>
        <w:t>，</w:t>
      </w:r>
      <w:r>
        <w:rPr>
          <w:rFonts w:hint="eastAsia"/>
          <w:sz w:val="24"/>
          <w:lang w:val="en-US" w:eastAsia="zh-CN"/>
        </w:rPr>
        <w:t>理解</w:t>
      </w:r>
      <w:r>
        <w:rPr>
          <w:sz w:val="24"/>
        </w:rPr>
        <w:t>证明方法</w:t>
      </w:r>
      <w:r>
        <w:rPr>
          <w:rFonts w:hint="eastAsia"/>
          <w:sz w:val="24"/>
        </w:rPr>
        <w:t>——</w:t>
      </w:r>
      <w:r>
        <w:rPr>
          <w:sz w:val="24"/>
        </w:rPr>
        <w:t>逐次逼进法，</w:t>
      </w:r>
      <w:r>
        <w:rPr>
          <w:rFonts w:hint="eastAsia"/>
          <w:sz w:val="24"/>
          <w:lang w:val="en-US" w:eastAsia="zh-CN"/>
        </w:rPr>
        <w:t>会</w:t>
      </w:r>
      <w:r>
        <w:rPr>
          <w:rFonts w:hint="eastAsia"/>
          <w:sz w:val="24"/>
        </w:rPr>
        <w:t>相关的近似计算和误差估计</w:t>
      </w:r>
      <w:r>
        <w:rPr>
          <w:sz w:val="24"/>
        </w:rPr>
        <w:t>。理解解对初始值与参数的连续性，了解解对初始值的可微性。</w:t>
      </w:r>
    </w:p>
    <w:p w14:paraId="01604674">
      <w:pPr>
        <w:spacing w:line="360" w:lineRule="auto"/>
        <w:rPr>
          <w:sz w:val="24"/>
        </w:rPr>
      </w:pPr>
      <w:r>
        <w:rPr>
          <w:rFonts w:hint="eastAsia"/>
          <w:sz w:val="24"/>
        </w:rPr>
        <w:t xml:space="preserve">    </w:t>
      </w:r>
      <w:r>
        <w:rPr>
          <w:sz w:val="24"/>
        </w:rPr>
        <w:t>4．</w:t>
      </w:r>
      <w:r>
        <w:rPr>
          <w:rFonts w:hint="eastAsia"/>
          <w:sz w:val="24"/>
        </w:rPr>
        <w:t>高阶微分</w:t>
      </w:r>
      <w:r>
        <w:rPr>
          <w:sz w:val="24"/>
        </w:rPr>
        <w:t>方程：</w:t>
      </w:r>
      <w:r>
        <w:rPr>
          <w:rFonts w:hint="eastAsia"/>
          <w:sz w:val="24"/>
        </w:rPr>
        <w:t>能够熟练求解各种高阶微分方程</w:t>
      </w:r>
      <w:r>
        <w:rPr>
          <w:sz w:val="24"/>
        </w:rPr>
        <w:t>。</w:t>
      </w:r>
      <w:r>
        <w:rPr>
          <w:rFonts w:hint="eastAsia"/>
          <w:sz w:val="24"/>
          <w:lang w:val="en-US" w:eastAsia="zh-CN"/>
        </w:rPr>
        <w:t>能够较熟练叙述</w:t>
      </w:r>
      <w:r>
        <w:rPr>
          <w:sz w:val="24"/>
        </w:rPr>
        <w:t>线性方程的基本理论：</w:t>
      </w:r>
      <w:r>
        <w:rPr>
          <w:rFonts w:hint="eastAsia"/>
          <w:sz w:val="24"/>
          <w:lang w:val="en-US" w:eastAsia="zh-CN"/>
        </w:rPr>
        <w:t>如</w:t>
      </w:r>
      <w:r>
        <w:rPr>
          <w:sz w:val="24"/>
        </w:rPr>
        <w:t>齐次和非齐次线性方程解的性质、函数线性关系、Wronsky</w:t>
      </w:r>
      <w:r>
        <w:rPr>
          <w:rFonts w:hint="eastAsia"/>
          <w:sz w:val="24"/>
        </w:rPr>
        <w:t>（朗斯基）</w:t>
      </w:r>
      <w:r>
        <w:rPr>
          <w:sz w:val="24"/>
        </w:rPr>
        <w:t>行列式、基本解组</w:t>
      </w:r>
      <w:r>
        <w:rPr>
          <w:rFonts w:hint="eastAsia"/>
          <w:sz w:val="24"/>
          <w:lang w:val="en-US" w:eastAsia="zh-CN"/>
        </w:rPr>
        <w:t>等基本概念</w:t>
      </w:r>
      <w:r>
        <w:rPr>
          <w:rFonts w:hint="eastAsia"/>
          <w:sz w:val="24"/>
          <w:lang w:eastAsia="zh-CN"/>
        </w:rPr>
        <w:t>。</w:t>
      </w:r>
      <w:r>
        <w:rPr>
          <w:rFonts w:hint="eastAsia"/>
          <w:sz w:val="24"/>
          <w:lang w:val="en-US" w:eastAsia="zh-CN"/>
        </w:rPr>
        <w:t>知道</w:t>
      </w:r>
      <w:r>
        <w:rPr>
          <w:sz w:val="24"/>
        </w:rPr>
        <w:t>齐次和非齐次线性方程的通解结构定理、</w:t>
      </w:r>
      <w:r>
        <w:rPr>
          <w:rFonts w:hint="eastAsia"/>
          <w:sz w:val="24"/>
        </w:rPr>
        <w:t>高阶微分方程的降阶、幂级数解法</w:t>
      </w:r>
      <w:r>
        <w:rPr>
          <w:rFonts w:hint="eastAsia"/>
          <w:sz w:val="24"/>
          <w:lang w:eastAsia="zh-CN"/>
        </w:rPr>
        <w:t>。</w:t>
      </w:r>
    </w:p>
    <w:p w14:paraId="176E276A">
      <w:pPr>
        <w:spacing w:line="360" w:lineRule="auto"/>
        <w:ind w:firstLine="480" w:firstLineChars="200"/>
        <w:rPr>
          <w:rFonts w:hint="default" w:eastAsia="宋体"/>
          <w:sz w:val="24"/>
          <w:lang w:val="en-US" w:eastAsia="zh-CN"/>
        </w:rPr>
      </w:pPr>
      <w:r>
        <w:rPr>
          <w:sz w:val="24"/>
        </w:rPr>
        <w:t>5．线性</w:t>
      </w:r>
      <w:r>
        <w:rPr>
          <w:rFonts w:hint="eastAsia"/>
          <w:sz w:val="24"/>
        </w:rPr>
        <w:t>微分</w:t>
      </w:r>
      <w:r>
        <w:rPr>
          <w:sz w:val="24"/>
        </w:rPr>
        <w:t>方程组：熟练掌握常系数线性方程组的解法</w:t>
      </w:r>
      <w:r>
        <w:rPr>
          <w:rFonts w:hint="eastAsia"/>
          <w:sz w:val="24"/>
        </w:rPr>
        <w:t>：</w:t>
      </w:r>
      <w:r>
        <w:rPr>
          <w:sz w:val="24"/>
        </w:rPr>
        <w:t>高阶方程的特征方程方法，方程组的基解矩阵求法，指数矩阵exp(At)求法，通解。</w:t>
      </w:r>
      <w:r>
        <w:rPr>
          <w:rFonts w:hint="eastAsia"/>
          <w:sz w:val="24"/>
          <w:lang w:val="en-US" w:eastAsia="zh-CN"/>
        </w:rPr>
        <w:t>理解拉普拉斯变换求解微分方程和方程组的方法。</w:t>
      </w:r>
    </w:p>
    <w:p w14:paraId="4A565634">
      <w:pPr>
        <w:spacing w:line="420" w:lineRule="exact"/>
        <w:ind w:firstLine="472" w:firstLineChars="196"/>
        <w:outlineLvl w:val="0"/>
        <w:rPr>
          <w:b/>
          <w:sz w:val="24"/>
        </w:rPr>
      </w:pPr>
      <w:r>
        <w:rPr>
          <w:rFonts w:hint="eastAsia"/>
          <w:b/>
          <w:sz w:val="24"/>
        </w:rPr>
        <w:t>三、教材</w:t>
      </w:r>
    </w:p>
    <w:p w14:paraId="32E5379F">
      <w:pPr>
        <w:spacing w:line="420" w:lineRule="exact"/>
        <w:ind w:firstLine="470" w:firstLineChars="196"/>
        <w:outlineLvl w:val="0"/>
        <w:rPr>
          <w:sz w:val="24"/>
        </w:rPr>
      </w:pPr>
      <w:r>
        <w:rPr>
          <w:rFonts w:hint="eastAsia"/>
          <w:sz w:val="24"/>
        </w:rPr>
        <w:t>王高雄等，常微分方程（第</w:t>
      </w:r>
      <w:r>
        <w:rPr>
          <w:rFonts w:hint="eastAsia"/>
          <w:sz w:val="24"/>
          <w:lang w:val="en-US" w:eastAsia="zh-CN"/>
        </w:rPr>
        <w:t>四</w:t>
      </w:r>
      <w:r>
        <w:rPr>
          <w:rFonts w:hint="eastAsia"/>
          <w:sz w:val="24"/>
        </w:rPr>
        <w:t>版）简明本，高等教育出版社</w:t>
      </w:r>
    </w:p>
    <w:p w14:paraId="14C62326">
      <w:pPr>
        <w:numPr>
          <w:ilvl w:val="0"/>
          <w:numId w:val="1"/>
        </w:numPr>
        <w:spacing w:line="420" w:lineRule="exact"/>
        <w:ind w:firstLine="472" w:firstLineChars="196"/>
        <w:outlineLvl w:val="0"/>
        <w:rPr>
          <w:b/>
          <w:sz w:val="24"/>
        </w:rPr>
      </w:pPr>
      <w:r>
        <w:rPr>
          <w:rFonts w:hint="eastAsia"/>
          <w:b/>
          <w:sz w:val="24"/>
        </w:rPr>
        <w:t>参考书目</w:t>
      </w:r>
    </w:p>
    <w:p w14:paraId="0A81DB4A">
      <w:pPr>
        <w:spacing w:line="420" w:lineRule="exact"/>
        <w:outlineLvl w:val="0"/>
        <w:rPr>
          <w:sz w:val="24"/>
        </w:rPr>
      </w:pPr>
      <w:r>
        <w:rPr>
          <w:rFonts w:hint="eastAsia"/>
          <w:b/>
          <w:sz w:val="24"/>
        </w:rPr>
        <w:t xml:space="preserve">    </w:t>
      </w:r>
      <w:r>
        <w:rPr>
          <w:rFonts w:hint="eastAsia"/>
          <w:sz w:val="24"/>
        </w:rPr>
        <w:t>1、常微分方程（第三版）简明本，王高雄等，高等教育出版社</w:t>
      </w:r>
    </w:p>
    <w:p w14:paraId="015040FB">
      <w:pPr>
        <w:ind w:firstLine="480" w:firstLineChars="200"/>
        <w:jc w:val="left"/>
        <w:rPr>
          <w:sz w:val="24"/>
        </w:rPr>
      </w:pPr>
      <w:r>
        <w:rPr>
          <w:rFonts w:hint="eastAsia"/>
          <w:sz w:val="24"/>
        </w:rPr>
        <w:t>2、</w:t>
      </w:r>
      <w:r>
        <w:rPr>
          <w:sz w:val="24"/>
        </w:rPr>
        <w:t>常微分方程</w:t>
      </w:r>
      <w:r>
        <w:rPr>
          <w:rFonts w:hint="eastAsia"/>
          <w:sz w:val="24"/>
        </w:rPr>
        <w:t>，</w:t>
      </w:r>
      <w:r>
        <w:rPr>
          <w:sz w:val="24"/>
        </w:rPr>
        <w:t>东北师大数学系编，高教出版社</w:t>
      </w:r>
    </w:p>
    <w:p w14:paraId="7CD2E5FF">
      <w:pPr>
        <w:ind w:firstLine="480"/>
        <w:jc w:val="left"/>
        <w:rPr>
          <w:sz w:val="24"/>
        </w:rPr>
      </w:pPr>
      <w:r>
        <w:rPr>
          <w:rFonts w:hint="eastAsia"/>
          <w:sz w:val="24"/>
        </w:rPr>
        <w:t>3、</w:t>
      </w:r>
      <w:r>
        <w:rPr>
          <w:sz w:val="24"/>
        </w:rPr>
        <w:t>常微分方程讲义，王柔怀、伍卓群编，高教出版社</w:t>
      </w:r>
    </w:p>
    <w:p w14:paraId="133EAE91">
      <w:pPr>
        <w:ind w:firstLine="480" w:firstLineChars="200"/>
        <w:jc w:val="left"/>
        <w:rPr>
          <w:sz w:val="24"/>
        </w:rPr>
      </w:pPr>
      <w:r>
        <w:rPr>
          <w:rFonts w:hint="eastAsia"/>
          <w:sz w:val="24"/>
        </w:rPr>
        <w:t>4、石瑞青等，常微分方程全程导学及习题全解，中国时代经济出版社</w:t>
      </w:r>
    </w:p>
    <w:p w14:paraId="642C5A12">
      <w:pPr>
        <w:ind w:firstLine="480" w:firstLineChars="200"/>
        <w:jc w:val="left"/>
        <w:rPr>
          <w:sz w:val="24"/>
        </w:rPr>
      </w:pPr>
      <w:r>
        <w:rPr>
          <w:rFonts w:hint="eastAsia"/>
          <w:sz w:val="24"/>
        </w:rPr>
        <w:t>另，可在中国MOOC</w:t>
      </w:r>
      <w:r>
        <w:rPr>
          <w:rFonts w:hint="eastAsia"/>
          <w:sz w:val="24"/>
          <w:lang w:eastAsia="zh-CN"/>
        </w:rPr>
        <w:t>、</w:t>
      </w:r>
      <w:r>
        <w:rPr>
          <w:rFonts w:hint="eastAsia"/>
          <w:sz w:val="24"/>
          <w:lang w:val="en-US" w:eastAsia="zh-CN"/>
        </w:rPr>
        <w:t>学习通</w:t>
      </w:r>
      <w:r>
        <w:rPr>
          <w:rFonts w:hint="eastAsia"/>
          <w:sz w:val="24"/>
        </w:rPr>
        <w:t>中搜索相关视频材料。</w:t>
      </w:r>
    </w:p>
    <w:p w14:paraId="648E6F2C">
      <w:pPr>
        <w:spacing w:line="420" w:lineRule="exact"/>
        <w:ind w:firstLine="470" w:firstLineChars="195"/>
        <w:outlineLvl w:val="0"/>
        <w:rPr>
          <w:b/>
          <w:sz w:val="24"/>
        </w:rPr>
      </w:pPr>
      <w:r>
        <w:rPr>
          <w:rFonts w:hint="eastAsia"/>
          <w:b/>
          <w:sz w:val="24"/>
        </w:rPr>
        <w:t>五、教学方法及提高教学质量的措施</w:t>
      </w:r>
    </w:p>
    <w:p w14:paraId="56B0F8E3">
      <w:pPr>
        <w:spacing w:line="360" w:lineRule="auto"/>
        <w:ind w:firstLine="480" w:firstLineChars="200"/>
        <w:rPr>
          <w:sz w:val="24"/>
        </w:rPr>
      </w:pPr>
      <w:r>
        <w:rPr>
          <w:rFonts w:hint="eastAsia"/>
          <w:sz w:val="24"/>
        </w:rPr>
        <w:t>1</w:t>
      </w:r>
      <w:r>
        <w:rPr>
          <w:sz w:val="24"/>
        </w:rPr>
        <w:t>、科学设置课程教学模式</w:t>
      </w:r>
    </w:p>
    <w:p w14:paraId="64D981AB">
      <w:pPr>
        <w:spacing w:line="360" w:lineRule="auto"/>
        <w:ind w:firstLine="480" w:firstLineChars="200"/>
        <w:rPr>
          <w:sz w:val="24"/>
        </w:rPr>
      </w:pPr>
      <w:r>
        <w:rPr>
          <w:sz w:val="24"/>
        </w:rPr>
        <w:t>微分方程是一门基础课，教材中的内容大多是一些以理论分析和理论推导为主的纯数学知识，但是，如果因此就把微分方程看成一门只讲基础知识和方程解法的纯理论性课程，教学效果就比较差。微分方程有两个“端点”，一个端点是实际背景，另一个端点是实际应用。离开了这两个端点，微分方程就成了无水之源，无本之本。因此，我们要结合新的教学实际，</w:t>
      </w:r>
      <w:r>
        <w:rPr>
          <w:rFonts w:hint="eastAsia"/>
          <w:sz w:val="24"/>
          <w:lang w:val="en-US" w:eastAsia="zh-CN"/>
        </w:rPr>
        <w:t>结合学校数学建模比赛情况，</w:t>
      </w:r>
      <w:r>
        <w:rPr>
          <w:sz w:val="24"/>
        </w:rPr>
        <w:t>特别是高教大发展的具体情况，努力改革教学模式，不断提高教学质量。</w:t>
      </w:r>
    </w:p>
    <w:p w14:paraId="4CE21179">
      <w:pPr>
        <w:spacing w:line="360" w:lineRule="auto"/>
        <w:rPr>
          <w:sz w:val="24"/>
        </w:rPr>
      </w:pPr>
      <w:r>
        <w:rPr>
          <w:rFonts w:hint="eastAsia"/>
          <w:sz w:val="24"/>
        </w:rPr>
        <w:t xml:space="preserve">   </w:t>
      </w:r>
      <w:r>
        <w:rPr>
          <w:sz w:val="24"/>
        </w:rPr>
        <w:t xml:space="preserve"> </w:t>
      </w:r>
      <w:r>
        <w:rPr>
          <w:rFonts w:hint="eastAsia"/>
          <w:sz w:val="24"/>
        </w:rPr>
        <w:t>2、</w:t>
      </w:r>
      <w:r>
        <w:rPr>
          <w:sz w:val="24"/>
        </w:rPr>
        <w:t>合理整合教学内容</w:t>
      </w:r>
    </w:p>
    <w:p w14:paraId="000DE6DF">
      <w:pPr>
        <w:spacing w:line="360" w:lineRule="auto"/>
        <w:ind w:firstLine="480" w:firstLineChars="200"/>
        <w:rPr>
          <w:sz w:val="24"/>
        </w:rPr>
      </w:pPr>
      <w:r>
        <w:rPr>
          <w:sz w:val="24"/>
        </w:rPr>
        <w:t>课本中只有教学的基本内容，教师可根据学生的实际情况和教学大纲的要求，特别是按照课程教学模式的要求，对教学内容进行合理安排。</w:t>
      </w:r>
    </w:p>
    <w:p w14:paraId="176E9B84">
      <w:pPr>
        <w:spacing w:line="360" w:lineRule="auto"/>
        <w:ind w:firstLine="480" w:firstLineChars="200"/>
        <w:rPr>
          <w:sz w:val="24"/>
        </w:rPr>
      </w:pPr>
      <w:r>
        <w:rPr>
          <w:sz w:val="24"/>
        </w:rPr>
        <w:t>首先，对教材的基本内容进行适当处理</w:t>
      </w:r>
      <w:r>
        <w:rPr>
          <w:rFonts w:hint="eastAsia"/>
          <w:sz w:val="24"/>
        </w:rPr>
        <w:t>，</w:t>
      </w:r>
      <w:r>
        <w:rPr>
          <w:sz w:val="24"/>
        </w:rPr>
        <w:t>例如，对第三章一阶微分方程的解的存在定理中的部分定理（如解对初值的连续性和可微性定理）只介绍定性的条件与结论，不作证明。因为一方面在新的形势下，课时比较紧</w:t>
      </w:r>
      <w:r>
        <w:rPr>
          <w:rFonts w:hint="eastAsia"/>
          <w:sz w:val="24"/>
        </w:rPr>
        <w:t>；</w:t>
      </w:r>
      <w:r>
        <w:rPr>
          <w:sz w:val="24"/>
        </w:rPr>
        <w:t>另一方面，对普通本科院校特别是师范院校而言，学生对这些定理的证明在学习上有一定的难度，教学效果很差。再如可以</w:t>
      </w:r>
      <w:r>
        <w:rPr>
          <w:rFonts w:hint="eastAsia"/>
          <w:sz w:val="24"/>
        </w:rPr>
        <w:t>第四章高阶微分方程和</w:t>
      </w:r>
      <w:r>
        <w:rPr>
          <w:sz w:val="24"/>
        </w:rPr>
        <w:t>第五章微分方程组</w:t>
      </w:r>
      <w:r>
        <w:rPr>
          <w:rFonts w:hint="eastAsia"/>
          <w:sz w:val="24"/>
        </w:rPr>
        <w:t>的基础理论部分是及其相似的，可以</w:t>
      </w:r>
      <w:r>
        <w:rPr>
          <w:sz w:val="24"/>
        </w:rPr>
        <w:t>把高阶微分方程看作微分方程组的特殊。这样，第</w:t>
      </w:r>
      <w:r>
        <w:rPr>
          <w:rFonts w:hint="eastAsia"/>
          <w:sz w:val="24"/>
        </w:rPr>
        <w:t>五</w:t>
      </w:r>
      <w:r>
        <w:rPr>
          <w:sz w:val="24"/>
        </w:rPr>
        <w:t>章的许多公式和定理就不必再</w:t>
      </w:r>
      <w:r>
        <w:rPr>
          <w:rFonts w:hint="eastAsia"/>
          <w:sz w:val="24"/>
        </w:rPr>
        <w:t>作详细</w:t>
      </w:r>
      <w:r>
        <w:rPr>
          <w:sz w:val="24"/>
        </w:rPr>
        <w:t>证明了。</w:t>
      </w:r>
    </w:p>
    <w:p w14:paraId="3BCB85BC">
      <w:pPr>
        <w:spacing w:line="360" w:lineRule="auto"/>
        <w:ind w:firstLine="480"/>
        <w:rPr>
          <w:sz w:val="24"/>
        </w:rPr>
      </w:pPr>
      <w:r>
        <w:rPr>
          <w:sz w:val="24"/>
        </w:rPr>
        <w:t>再次，要结合教学模式的设计，合理安排教学模块。一是理论模块。这些理论除了第三章一阶微分方程的存在定理、第四章线性方程的解的结构理论、第五章线性方程组的解的结构理论，有些理论是分散在各章的，应注意及时整理总结。二是解方程模块，这是理论模块的落脚点之一，其内容分散在各章中，类型多，内容杂，要及时归类，并加强训练。常微分方程的中心是解方程，但是其方程的类型很繁杂，许多同学难以把握。教师可有意识地去挖掘理论知识背后的数学思想，将理论知识进一步提炼、升华，并将许多知识有机地结合起来。以第二章“一阶微分方程的初等解法”为例，教师可抓住变量分离方程和恰当方程这两个中心，浸透化归思想，即其它几种类型的方程都可归结为这两种类型的方程。</w:t>
      </w:r>
    </w:p>
    <w:p w14:paraId="59F853B9">
      <w:pPr>
        <w:spacing w:line="360" w:lineRule="auto"/>
        <w:ind w:firstLine="480"/>
        <w:rPr>
          <w:sz w:val="24"/>
        </w:rPr>
      </w:pPr>
      <w:r>
        <w:rPr>
          <w:rFonts w:hint="eastAsia"/>
          <w:sz w:val="24"/>
        </w:rPr>
        <w:t>3</w:t>
      </w:r>
      <w:r>
        <w:rPr>
          <w:sz w:val="24"/>
        </w:rPr>
        <w:t>、采用多样化教学手段与教学方式</w:t>
      </w:r>
    </w:p>
    <w:p w14:paraId="00192C8F">
      <w:pPr>
        <w:spacing w:line="360" w:lineRule="auto"/>
        <w:ind w:firstLine="480" w:firstLineChars="200"/>
        <w:rPr>
          <w:rFonts w:hint="default"/>
          <w:sz w:val="24"/>
          <w:lang w:val="en-US"/>
        </w:rPr>
      </w:pPr>
      <w:r>
        <w:rPr>
          <w:rFonts w:hint="eastAsia"/>
          <w:sz w:val="24"/>
          <w:lang w:val="en-US" w:eastAsia="zh-CN"/>
        </w:rPr>
        <w:t>因四川疫情严峻本学期初将进行线上教学，依托已经在“学习通”平台初步建设的常微分方程课程，结合“腾讯会议”、“QQ”等平台开展学习交流和日常教学。</w:t>
      </w:r>
    </w:p>
    <w:p w14:paraId="032F92B5">
      <w:pPr>
        <w:spacing w:line="420" w:lineRule="exact"/>
        <w:ind w:firstLine="472" w:firstLineChars="196"/>
        <w:outlineLvl w:val="0"/>
        <w:rPr>
          <w:rFonts w:ascii="宋体" w:hAnsi="宋体"/>
          <w:b/>
          <w:sz w:val="24"/>
        </w:rPr>
      </w:pPr>
      <w:r>
        <w:rPr>
          <w:rFonts w:hint="eastAsia"/>
          <w:b/>
          <w:sz w:val="24"/>
        </w:rPr>
        <w:t>六、作业及成绩考核方式</w:t>
      </w:r>
    </w:p>
    <w:p w14:paraId="79F2B2D0">
      <w:pPr>
        <w:spacing w:line="420" w:lineRule="exact"/>
        <w:ind w:firstLine="360" w:firstLineChars="150"/>
        <w:rPr>
          <w:rFonts w:ascii="宋体" w:hAnsi="宋体"/>
          <w:sz w:val="24"/>
        </w:rPr>
      </w:pPr>
      <w:r>
        <w:rPr>
          <w:rFonts w:hint="eastAsia" w:ascii="宋体" w:hAnsi="宋体"/>
          <w:sz w:val="24"/>
        </w:rPr>
        <w:t>（一）作业</w:t>
      </w:r>
    </w:p>
    <w:p w14:paraId="06F18F94">
      <w:pPr>
        <w:spacing w:line="360" w:lineRule="auto"/>
        <w:ind w:firstLine="360" w:firstLineChars="150"/>
        <w:rPr>
          <w:rFonts w:ascii="宋体" w:hAnsi="宋体"/>
          <w:sz w:val="24"/>
        </w:rPr>
      </w:pPr>
      <w:r>
        <w:rPr>
          <w:rFonts w:hint="eastAsia" w:ascii="宋体" w:hAnsi="宋体"/>
          <w:sz w:val="24"/>
        </w:rPr>
        <w:t xml:space="preserve"> 每两</w:t>
      </w:r>
      <w:r>
        <w:rPr>
          <w:rFonts w:ascii="宋体" w:hAnsi="宋体"/>
          <w:sz w:val="24"/>
        </w:rPr>
        <w:t>周交一次作业，</w:t>
      </w:r>
      <w:r>
        <w:rPr>
          <w:rFonts w:hint="eastAsia" w:ascii="宋体" w:hAnsi="宋体"/>
          <w:sz w:val="24"/>
        </w:rPr>
        <w:t>或者按照章节交作业，总计每个学生交作业次数不少于</w:t>
      </w:r>
      <w:r>
        <w:rPr>
          <w:rFonts w:hint="eastAsia" w:ascii="宋体" w:hAnsi="宋体"/>
          <w:sz w:val="24"/>
          <w:lang w:val="en-US" w:eastAsia="zh-CN"/>
        </w:rPr>
        <w:t>3</w:t>
      </w:r>
      <w:r>
        <w:rPr>
          <w:rFonts w:hint="eastAsia" w:ascii="宋体" w:hAnsi="宋体"/>
          <w:sz w:val="24"/>
        </w:rPr>
        <w:t>次。</w:t>
      </w:r>
    </w:p>
    <w:p w14:paraId="064F25EA">
      <w:pPr>
        <w:spacing w:line="360" w:lineRule="auto"/>
        <w:ind w:firstLine="360" w:firstLineChars="150"/>
        <w:outlineLvl w:val="0"/>
        <w:rPr>
          <w:rFonts w:ascii="宋体" w:hAnsi="宋体"/>
          <w:sz w:val="24"/>
        </w:rPr>
      </w:pPr>
      <w:r>
        <w:rPr>
          <w:rFonts w:hint="eastAsia" w:ascii="宋体" w:hAnsi="宋体"/>
          <w:sz w:val="24"/>
        </w:rPr>
        <w:t>（二）考核方式</w:t>
      </w:r>
    </w:p>
    <w:p w14:paraId="59EA75AE">
      <w:pPr>
        <w:spacing w:line="360" w:lineRule="auto"/>
        <w:ind w:firstLine="480"/>
        <w:rPr>
          <w:sz w:val="24"/>
        </w:rPr>
      </w:pPr>
      <w:r>
        <w:rPr>
          <w:rFonts w:hint="eastAsia"/>
          <w:sz w:val="24"/>
        </w:rPr>
        <w:t>课程考核方式采取平时作业、平时测验与期末集中闭卷考试的形式进行。课程成绩100分，建议按照平时成绩（含平时作业成绩、平时测验成绩、课堂表现</w:t>
      </w:r>
      <w:r>
        <w:rPr>
          <w:rFonts w:hint="eastAsia"/>
          <w:sz w:val="24"/>
          <w:lang w:eastAsia="zh-CN"/>
        </w:rPr>
        <w:t>、</w:t>
      </w:r>
      <w:r>
        <w:rPr>
          <w:rFonts w:hint="eastAsia"/>
          <w:sz w:val="24"/>
          <w:lang w:val="en-US" w:eastAsia="zh-CN"/>
        </w:rPr>
        <w:t>半期考试</w:t>
      </w:r>
      <w:r>
        <w:rPr>
          <w:rFonts w:hint="eastAsia"/>
          <w:sz w:val="24"/>
        </w:rPr>
        <w:t>）</w:t>
      </w:r>
      <w:r>
        <w:rPr>
          <w:rFonts w:hint="eastAsia"/>
          <w:sz w:val="24"/>
          <w:lang w:val="en-US" w:eastAsia="zh-CN"/>
        </w:rPr>
        <w:t>4</w:t>
      </w:r>
      <w:r>
        <w:rPr>
          <w:rFonts w:hint="eastAsia"/>
          <w:sz w:val="24"/>
        </w:rPr>
        <w:t>0%，期末集中闭卷考试</w:t>
      </w:r>
      <w:r>
        <w:rPr>
          <w:rFonts w:hint="eastAsia"/>
          <w:sz w:val="24"/>
          <w:lang w:val="en-US" w:eastAsia="zh-CN"/>
        </w:rPr>
        <w:t>6</w:t>
      </w:r>
      <w:r>
        <w:rPr>
          <w:rFonts w:hint="eastAsia"/>
          <w:sz w:val="24"/>
        </w:rPr>
        <w:t>0%的比例计算。</w:t>
      </w:r>
    </w:p>
    <w:p w14:paraId="5FF49B91">
      <w:pPr>
        <w:spacing w:line="720" w:lineRule="exact"/>
        <w:ind w:firstLine="480"/>
        <w:jc w:val="center"/>
        <w:rPr>
          <w:rFonts w:ascii="宋体" w:hAnsi="宋体"/>
          <w:sz w:val="44"/>
          <w:szCs w:val="44"/>
        </w:rPr>
      </w:pPr>
      <w:r>
        <w:rPr>
          <w:rFonts w:hint="eastAsia" w:ascii="宋体" w:hAnsi="宋体"/>
          <w:sz w:val="44"/>
          <w:szCs w:val="44"/>
        </w:rPr>
        <w:t>教学进度表</w:t>
      </w:r>
    </w:p>
    <w:p w14:paraId="6AE09928">
      <w:pPr>
        <w:jc w:val="center"/>
        <w:rPr>
          <w:rFonts w:ascii="宋体" w:hAnsi="宋体"/>
          <w:sz w:val="10"/>
          <w:szCs w:val="10"/>
        </w:rPr>
      </w:pPr>
    </w:p>
    <w:tbl>
      <w:tblPr>
        <w:tblStyle w:val="5"/>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3547"/>
        <w:gridCol w:w="684"/>
        <w:gridCol w:w="684"/>
        <w:gridCol w:w="684"/>
        <w:gridCol w:w="684"/>
        <w:gridCol w:w="684"/>
        <w:gridCol w:w="1687"/>
      </w:tblGrid>
      <w:tr w14:paraId="77D7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454" w:type="dxa"/>
            <w:vMerge w:val="restart"/>
            <w:tcBorders>
              <w:right w:val="single" w:color="000000" w:sz="4" w:space="0"/>
            </w:tcBorders>
            <w:vAlign w:val="center"/>
          </w:tcPr>
          <w:p w14:paraId="556FD170">
            <w:pPr>
              <w:spacing w:line="260" w:lineRule="exact"/>
              <w:jc w:val="center"/>
            </w:pPr>
          </w:p>
          <w:p w14:paraId="3CF18968">
            <w:pPr>
              <w:spacing w:line="260" w:lineRule="exact"/>
              <w:jc w:val="center"/>
            </w:pPr>
            <w:r>
              <w:rPr>
                <w:rFonts w:hint="eastAsia"/>
              </w:rPr>
              <w:t>周</w:t>
            </w:r>
          </w:p>
          <w:p w14:paraId="7101DFAF">
            <w:pPr>
              <w:spacing w:line="260" w:lineRule="exact"/>
              <w:jc w:val="center"/>
            </w:pPr>
          </w:p>
          <w:p w14:paraId="609B30C4">
            <w:pPr>
              <w:spacing w:line="260" w:lineRule="exact"/>
              <w:jc w:val="center"/>
            </w:pPr>
            <w:r>
              <w:rPr>
                <w:rFonts w:hint="eastAsia"/>
              </w:rPr>
              <w:t>次</w:t>
            </w:r>
          </w:p>
        </w:tc>
        <w:tc>
          <w:tcPr>
            <w:tcW w:w="3547" w:type="dxa"/>
            <w:vMerge w:val="restart"/>
            <w:tcBorders>
              <w:left w:val="single" w:color="000000" w:sz="4" w:space="0"/>
            </w:tcBorders>
            <w:vAlign w:val="center"/>
          </w:tcPr>
          <w:p w14:paraId="1129F49C">
            <w:pPr>
              <w:jc w:val="center"/>
            </w:pPr>
            <w:r>
              <w:rPr>
                <w:rFonts w:hint="eastAsia"/>
              </w:rPr>
              <w:t>计划进度</w:t>
            </w:r>
          </w:p>
        </w:tc>
        <w:tc>
          <w:tcPr>
            <w:tcW w:w="3420" w:type="dxa"/>
            <w:gridSpan w:val="5"/>
            <w:tcBorders>
              <w:bottom w:val="single" w:color="000000" w:sz="4" w:space="0"/>
            </w:tcBorders>
            <w:vAlign w:val="center"/>
          </w:tcPr>
          <w:p w14:paraId="52991F02">
            <w:pPr>
              <w:jc w:val="center"/>
            </w:pPr>
            <w:r>
              <w:rPr>
                <w:rFonts w:hint="eastAsia"/>
              </w:rPr>
              <w:t>课时分配</w:t>
            </w:r>
          </w:p>
        </w:tc>
        <w:tc>
          <w:tcPr>
            <w:tcW w:w="1687" w:type="dxa"/>
            <w:vMerge w:val="restart"/>
            <w:vAlign w:val="center"/>
          </w:tcPr>
          <w:p w14:paraId="21F729EC">
            <w:pPr>
              <w:jc w:val="center"/>
            </w:pPr>
            <w:r>
              <w:rPr>
                <w:rFonts w:hint="eastAsia"/>
              </w:rPr>
              <w:t>备      注</w:t>
            </w:r>
          </w:p>
        </w:tc>
      </w:tr>
      <w:tr w14:paraId="7098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454" w:type="dxa"/>
            <w:vMerge w:val="continue"/>
            <w:tcBorders>
              <w:right w:val="single" w:color="000000" w:sz="4" w:space="0"/>
            </w:tcBorders>
            <w:vAlign w:val="center"/>
          </w:tcPr>
          <w:p w14:paraId="05D65CEF">
            <w:pPr>
              <w:jc w:val="center"/>
            </w:pPr>
          </w:p>
        </w:tc>
        <w:tc>
          <w:tcPr>
            <w:tcW w:w="3547" w:type="dxa"/>
            <w:vMerge w:val="continue"/>
            <w:tcBorders>
              <w:left w:val="single" w:color="000000" w:sz="4" w:space="0"/>
            </w:tcBorders>
            <w:vAlign w:val="center"/>
          </w:tcPr>
          <w:p w14:paraId="17C35AD0">
            <w:pPr>
              <w:widowControl/>
              <w:jc w:val="center"/>
            </w:pPr>
          </w:p>
        </w:tc>
        <w:tc>
          <w:tcPr>
            <w:tcW w:w="684" w:type="dxa"/>
            <w:tcBorders>
              <w:top w:val="single" w:color="000000" w:sz="4" w:space="0"/>
            </w:tcBorders>
            <w:vAlign w:val="center"/>
          </w:tcPr>
          <w:p w14:paraId="4F52CC39">
            <w:pPr>
              <w:spacing w:line="260" w:lineRule="exact"/>
              <w:jc w:val="center"/>
            </w:pPr>
            <w:r>
              <w:rPr>
                <w:rFonts w:hint="eastAsia"/>
              </w:rPr>
              <w:t>讲</w:t>
            </w:r>
          </w:p>
          <w:p w14:paraId="6E922D69">
            <w:pPr>
              <w:spacing w:line="260" w:lineRule="exact"/>
              <w:jc w:val="center"/>
            </w:pPr>
            <w:r>
              <w:rPr>
                <w:rFonts w:hint="eastAsia"/>
              </w:rPr>
              <w:t>授</w:t>
            </w:r>
          </w:p>
          <w:p w14:paraId="34344A4D">
            <w:pPr>
              <w:spacing w:line="260" w:lineRule="exact"/>
              <w:jc w:val="center"/>
            </w:pPr>
            <w:r>
              <w:rPr>
                <w:rFonts w:hint="eastAsia"/>
              </w:rPr>
              <w:t>课</w:t>
            </w:r>
          </w:p>
        </w:tc>
        <w:tc>
          <w:tcPr>
            <w:tcW w:w="684" w:type="dxa"/>
            <w:tcBorders>
              <w:top w:val="single" w:color="000000" w:sz="4" w:space="0"/>
            </w:tcBorders>
            <w:vAlign w:val="center"/>
          </w:tcPr>
          <w:p w14:paraId="1ECB05E4">
            <w:pPr>
              <w:spacing w:line="260" w:lineRule="exact"/>
              <w:jc w:val="center"/>
            </w:pPr>
            <w:r>
              <w:rPr>
                <w:rFonts w:hint="eastAsia"/>
              </w:rPr>
              <w:t>习</w:t>
            </w:r>
          </w:p>
          <w:p w14:paraId="2A004EA5">
            <w:pPr>
              <w:spacing w:line="260" w:lineRule="exact"/>
              <w:jc w:val="center"/>
            </w:pPr>
            <w:r>
              <w:rPr>
                <w:rFonts w:hint="eastAsia"/>
              </w:rPr>
              <w:t>题</w:t>
            </w:r>
          </w:p>
          <w:p w14:paraId="23D4AA33">
            <w:pPr>
              <w:spacing w:line="260" w:lineRule="exact"/>
              <w:jc w:val="center"/>
            </w:pPr>
            <w:r>
              <w:rPr>
                <w:rFonts w:hint="eastAsia"/>
              </w:rPr>
              <w:t>课</w:t>
            </w:r>
          </w:p>
        </w:tc>
        <w:tc>
          <w:tcPr>
            <w:tcW w:w="684" w:type="dxa"/>
            <w:tcBorders>
              <w:top w:val="single" w:color="000000" w:sz="4" w:space="0"/>
            </w:tcBorders>
            <w:vAlign w:val="center"/>
          </w:tcPr>
          <w:p w14:paraId="677D64C6">
            <w:pPr>
              <w:spacing w:line="260" w:lineRule="exact"/>
              <w:jc w:val="center"/>
            </w:pPr>
            <w:r>
              <w:rPr>
                <w:rFonts w:hint="eastAsia"/>
              </w:rPr>
              <w:t>课</w:t>
            </w:r>
          </w:p>
          <w:p w14:paraId="5136D68B">
            <w:pPr>
              <w:spacing w:line="260" w:lineRule="exact"/>
              <w:jc w:val="center"/>
            </w:pPr>
            <w:r>
              <w:rPr>
                <w:rFonts w:hint="eastAsia"/>
              </w:rPr>
              <w:t>堂</w:t>
            </w:r>
          </w:p>
          <w:p w14:paraId="5C9147AA">
            <w:pPr>
              <w:spacing w:line="260" w:lineRule="exact"/>
              <w:jc w:val="center"/>
            </w:pPr>
            <w:r>
              <w:rPr>
                <w:rFonts w:hint="eastAsia"/>
              </w:rPr>
              <w:t>讨</w:t>
            </w:r>
          </w:p>
          <w:p w14:paraId="2C2D763C">
            <w:pPr>
              <w:spacing w:line="260" w:lineRule="exact"/>
              <w:jc w:val="center"/>
            </w:pPr>
            <w:r>
              <w:rPr>
                <w:rFonts w:hint="eastAsia"/>
              </w:rPr>
              <w:t>论</w:t>
            </w:r>
          </w:p>
        </w:tc>
        <w:tc>
          <w:tcPr>
            <w:tcW w:w="684" w:type="dxa"/>
            <w:tcBorders>
              <w:top w:val="single" w:color="000000" w:sz="4" w:space="0"/>
            </w:tcBorders>
            <w:vAlign w:val="center"/>
          </w:tcPr>
          <w:p w14:paraId="695F0A9A">
            <w:pPr>
              <w:spacing w:line="260" w:lineRule="exact"/>
              <w:jc w:val="center"/>
            </w:pPr>
            <w:r>
              <w:rPr>
                <w:rFonts w:hint="eastAsia"/>
              </w:rPr>
              <w:t>实践教学</w:t>
            </w:r>
          </w:p>
        </w:tc>
        <w:tc>
          <w:tcPr>
            <w:tcW w:w="684" w:type="dxa"/>
            <w:tcBorders>
              <w:top w:val="single" w:color="000000" w:sz="4" w:space="0"/>
            </w:tcBorders>
            <w:vAlign w:val="center"/>
          </w:tcPr>
          <w:p w14:paraId="1F43CF0D">
            <w:pPr>
              <w:spacing w:line="260" w:lineRule="exact"/>
              <w:jc w:val="center"/>
            </w:pPr>
            <w:r>
              <w:rPr>
                <w:rFonts w:hint="eastAsia"/>
              </w:rPr>
              <w:t>作</w:t>
            </w:r>
          </w:p>
          <w:p w14:paraId="3F6BD06D">
            <w:pPr>
              <w:spacing w:line="260" w:lineRule="exact"/>
              <w:jc w:val="center"/>
            </w:pPr>
            <w:r>
              <w:rPr>
                <w:rFonts w:hint="eastAsia"/>
              </w:rPr>
              <w:t>业</w:t>
            </w:r>
          </w:p>
          <w:p w14:paraId="0622707B">
            <w:pPr>
              <w:spacing w:line="260" w:lineRule="exact"/>
              <w:jc w:val="center"/>
            </w:pPr>
            <w:r>
              <w:rPr>
                <w:rFonts w:hint="eastAsia"/>
              </w:rPr>
              <w:t>形</w:t>
            </w:r>
          </w:p>
          <w:p w14:paraId="48C90145">
            <w:pPr>
              <w:spacing w:line="260" w:lineRule="exact"/>
              <w:jc w:val="center"/>
            </w:pPr>
            <w:r>
              <w:rPr>
                <w:rFonts w:hint="eastAsia"/>
              </w:rPr>
              <w:t>式</w:t>
            </w:r>
          </w:p>
        </w:tc>
        <w:tc>
          <w:tcPr>
            <w:tcW w:w="1687" w:type="dxa"/>
            <w:vMerge w:val="continue"/>
            <w:vAlign w:val="center"/>
          </w:tcPr>
          <w:p w14:paraId="6AFE0500"/>
        </w:tc>
      </w:tr>
      <w:tr w14:paraId="714F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00110CF6">
            <w:pPr>
              <w:jc w:val="center"/>
            </w:pPr>
            <w:r>
              <w:rPr>
                <w:rFonts w:hint="eastAsia"/>
              </w:rPr>
              <w:t>1</w:t>
            </w:r>
          </w:p>
        </w:tc>
        <w:tc>
          <w:tcPr>
            <w:tcW w:w="3547" w:type="dxa"/>
            <w:tcBorders>
              <w:left w:val="single" w:color="000000" w:sz="4" w:space="0"/>
            </w:tcBorders>
            <w:vAlign w:val="center"/>
          </w:tcPr>
          <w:p w14:paraId="055777A0">
            <w:pPr>
              <w:numPr>
                <w:ilvl w:val="0"/>
                <w:numId w:val="2"/>
              </w:numPr>
              <w:jc w:val="both"/>
            </w:pPr>
            <w:r>
              <w:rPr>
                <w:rFonts w:hint="eastAsia" w:ascii="宋体" w:hAnsi="宋体"/>
                <w:sz w:val="22"/>
              </w:rPr>
              <w:t>绪论</w:t>
            </w:r>
          </w:p>
        </w:tc>
        <w:tc>
          <w:tcPr>
            <w:tcW w:w="684" w:type="dxa"/>
            <w:vAlign w:val="center"/>
          </w:tcPr>
          <w:p w14:paraId="2EA04A81">
            <w:pPr>
              <w:jc w:val="center"/>
              <w:rPr>
                <w:rFonts w:hint="default" w:eastAsia="宋体"/>
                <w:lang w:val="en-US" w:eastAsia="zh-CN"/>
              </w:rPr>
            </w:pPr>
            <w:r>
              <w:rPr>
                <w:rFonts w:hint="eastAsia"/>
                <w:lang w:val="en-US" w:eastAsia="zh-CN"/>
              </w:rPr>
              <w:t>2</w:t>
            </w:r>
          </w:p>
        </w:tc>
        <w:tc>
          <w:tcPr>
            <w:tcW w:w="684" w:type="dxa"/>
            <w:vAlign w:val="center"/>
          </w:tcPr>
          <w:p w14:paraId="05B427EF">
            <w:pPr>
              <w:jc w:val="center"/>
              <w:rPr>
                <w:rFonts w:hint="eastAsia" w:eastAsia="宋体"/>
                <w:lang w:val="en-US" w:eastAsia="zh-CN"/>
              </w:rPr>
            </w:pPr>
            <w:r>
              <w:rPr>
                <w:rFonts w:hint="eastAsia"/>
                <w:lang w:val="en-US" w:eastAsia="zh-CN"/>
              </w:rPr>
              <w:t>1</w:t>
            </w:r>
          </w:p>
        </w:tc>
        <w:tc>
          <w:tcPr>
            <w:tcW w:w="684" w:type="dxa"/>
            <w:vAlign w:val="center"/>
          </w:tcPr>
          <w:p w14:paraId="2956199A">
            <w:pPr>
              <w:jc w:val="center"/>
              <w:rPr>
                <w:rFonts w:hint="eastAsia" w:eastAsia="宋体"/>
                <w:lang w:val="en-US" w:eastAsia="zh-CN"/>
              </w:rPr>
            </w:pPr>
          </w:p>
        </w:tc>
        <w:tc>
          <w:tcPr>
            <w:tcW w:w="684" w:type="dxa"/>
            <w:vAlign w:val="center"/>
          </w:tcPr>
          <w:p w14:paraId="338F1685">
            <w:pPr>
              <w:jc w:val="center"/>
            </w:pPr>
          </w:p>
        </w:tc>
        <w:tc>
          <w:tcPr>
            <w:tcW w:w="684" w:type="dxa"/>
            <w:vAlign w:val="center"/>
          </w:tcPr>
          <w:p w14:paraId="54ED536F">
            <w:pPr>
              <w:jc w:val="center"/>
              <w:rPr>
                <w:rFonts w:hint="default" w:eastAsia="宋体"/>
                <w:lang w:val="en-US" w:eastAsia="zh-CN"/>
              </w:rPr>
            </w:pPr>
            <w:r>
              <w:rPr>
                <w:rFonts w:hint="eastAsia"/>
                <w:lang w:val="en-US" w:eastAsia="zh-CN"/>
              </w:rPr>
              <w:t>随堂练习</w:t>
            </w:r>
          </w:p>
        </w:tc>
        <w:tc>
          <w:tcPr>
            <w:tcW w:w="1687" w:type="dxa"/>
            <w:vAlign w:val="center"/>
          </w:tcPr>
          <w:p w14:paraId="27CBBAF6">
            <w:pPr>
              <w:ind w:firstLine="105" w:firstLineChars="50"/>
              <w:rPr>
                <w:rFonts w:hint="default" w:eastAsia="宋体"/>
                <w:lang w:val="en-US" w:eastAsia="zh-CN"/>
              </w:rPr>
            </w:pPr>
          </w:p>
        </w:tc>
      </w:tr>
      <w:tr w14:paraId="243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0588DF38">
            <w:pPr>
              <w:jc w:val="center"/>
            </w:pPr>
            <w:r>
              <w:rPr>
                <w:rFonts w:hint="eastAsia"/>
              </w:rPr>
              <w:t>2</w:t>
            </w:r>
          </w:p>
        </w:tc>
        <w:tc>
          <w:tcPr>
            <w:tcW w:w="3547" w:type="dxa"/>
            <w:tcBorders>
              <w:left w:val="single" w:color="000000" w:sz="4" w:space="0"/>
            </w:tcBorders>
            <w:vAlign w:val="center"/>
          </w:tcPr>
          <w:p w14:paraId="795148C7">
            <w:pPr>
              <w:numPr>
                <w:ilvl w:val="0"/>
                <w:numId w:val="2"/>
              </w:numPr>
              <w:rPr>
                <w:rFonts w:ascii="宋体" w:hAnsi="宋体"/>
                <w:sz w:val="22"/>
              </w:rPr>
            </w:pPr>
            <w:r>
              <w:rPr>
                <w:rFonts w:hint="eastAsia" w:ascii="宋体" w:hAnsi="宋体"/>
                <w:sz w:val="22"/>
              </w:rPr>
              <w:t>一阶微分方程的初等解法</w:t>
            </w:r>
          </w:p>
          <w:p w14:paraId="6C920C4E">
            <w:r>
              <w:rPr>
                <w:rFonts w:hint="eastAsia" w:ascii="宋体" w:hAnsi="宋体"/>
                <w:sz w:val="22"/>
              </w:rPr>
              <w:t>2.1 变量分离方程</w:t>
            </w:r>
          </w:p>
        </w:tc>
        <w:tc>
          <w:tcPr>
            <w:tcW w:w="684" w:type="dxa"/>
            <w:vAlign w:val="center"/>
          </w:tcPr>
          <w:p w14:paraId="79C9E9F9">
            <w:pPr>
              <w:jc w:val="center"/>
              <w:rPr>
                <w:rFonts w:hint="eastAsia" w:eastAsia="宋体"/>
                <w:lang w:eastAsia="zh-CN"/>
              </w:rPr>
            </w:pPr>
            <w:r>
              <w:rPr>
                <w:rFonts w:hint="eastAsia"/>
                <w:lang w:val="en-US" w:eastAsia="zh-CN"/>
              </w:rPr>
              <w:t>3</w:t>
            </w:r>
          </w:p>
        </w:tc>
        <w:tc>
          <w:tcPr>
            <w:tcW w:w="684" w:type="dxa"/>
            <w:vAlign w:val="center"/>
          </w:tcPr>
          <w:p w14:paraId="24D6A218">
            <w:pPr>
              <w:jc w:val="center"/>
            </w:pPr>
          </w:p>
        </w:tc>
        <w:tc>
          <w:tcPr>
            <w:tcW w:w="684" w:type="dxa"/>
            <w:vAlign w:val="center"/>
          </w:tcPr>
          <w:p w14:paraId="6CAC8B97">
            <w:pPr>
              <w:jc w:val="center"/>
            </w:pPr>
          </w:p>
        </w:tc>
        <w:tc>
          <w:tcPr>
            <w:tcW w:w="684" w:type="dxa"/>
            <w:vAlign w:val="center"/>
          </w:tcPr>
          <w:p w14:paraId="10D6FE6F">
            <w:pPr>
              <w:jc w:val="center"/>
            </w:pPr>
          </w:p>
        </w:tc>
        <w:tc>
          <w:tcPr>
            <w:tcW w:w="684" w:type="dxa"/>
            <w:vAlign w:val="center"/>
          </w:tcPr>
          <w:p w14:paraId="603C421B">
            <w:pPr>
              <w:jc w:val="center"/>
            </w:pPr>
            <w:r>
              <w:rPr>
                <w:rFonts w:hint="eastAsia"/>
                <w:lang w:val="en-US" w:eastAsia="zh-CN"/>
              </w:rPr>
              <w:t>随堂练习</w:t>
            </w:r>
          </w:p>
        </w:tc>
        <w:tc>
          <w:tcPr>
            <w:tcW w:w="1687" w:type="dxa"/>
            <w:vAlign w:val="center"/>
          </w:tcPr>
          <w:p w14:paraId="4ACA6460">
            <w:pPr>
              <w:rPr>
                <w:rFonts w:hint="default" w:eastAsia="宋体"/>
                <w:lang w:val="en-US" w:eastAsia="zh-CN"/>
              </w:rPr>
            </w:pPr>
          </w:p>
        </w:tc>
      </w:tr>
      <w:tr w14:paraId="0713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6C1D6B17">
            <w:pPr>
              <w:jc w:val="center"/>
            </w:pPr>
            <w:r>
              <w:rPr>
                <w:rFonts w:hint="eastAsia"/>
              </w:rPr>
              <w:t>3</w:t>
            </w:r>
          </w:p>
        </w:tc>
        <w:tc>
          <w:tcPr>
            <w:tcW w:w="3547" w:type="dxa"/>
            <w:tcBorders>
              <w:left w:val="single" w:color="000000" w:sz="4" w:space="0"/>
            </w:tcBorders>
            <w:vAlign w:val="center"/>
          </w:tcPr>
          <w:p w14:paraId="4AB69FFE">
            <w:pPr>
              <w:tabs>
                <w:tab w:val="left" w:pos="809"/>
              </w:tabs>
              <w:rPr>
                <w:rFonts w:ascii="宋体" w:hAnsi="宋体"/>
              </w:rPr>
            </w:pPr>
            <w:r>
              <w:rPr>
                <w:rFonts w:hint="eastAsia" w:ascii="宋体" w:hAnsi="宋体"/>
              </w:rPr>
              <w:t>2.2 线性微分方程</w:t>
            </w:r>
          </w:p>
        </w:tc>
        <w:tc>
          <w:tcPr>
            <w:tcW w:w="684" w:type="dxa"/>
            <w:vAlign w:val="center"/>
          </w:tcPr>
          <w:p w14:paraId="7799727B">
            <w:pPr>
              <w:jc w:val="center"/>
              <w:rPr>
                <w:rFonts w:hint="eastAsia" w:eastAsia="宋体"/>
                <w:lang w:eastAsia="zh-CN"/>
              </w:rPr>
            </w:pPr>
            <w:r>
              <w:rPr>
                <w:rFonts w:hint="eastAsia"/>
                <w:lang w:val="en-US" w:eastAsia="zh-CN"/>
              </w:rPr>
              <w:t>3</w:t>
            </w:r>
          </w:p>
        </w:tc>
        <w:tc>
          <w:tcPr>
            <w:tcW w:w="684" w:type="dxa"/>
            <w:vAlign w:val="center"/>
          </w:tcPr>
          <w:p w14:paraId="394E4D84">
            <w:pPr>
              <w:jc w:val="center"/>
            </w:pPr>
          </w:p>
        </w:tc>
        <w:tc>
          <w:tcPr>
            <w:tcW w:w="684" w:type="dxa"/>
            <w:vAlign w:val="center"/>
          </w:tcPr>
          <w:p w14:paraId="45B8AA01">
            <w:pPr>
              <w:jc w:val="center"/>
            </w:pPr>
          </w:p>
        </w:tc>
        <w:tc>
          <w:tcPr>
            <w:tcW w:w="684" w:type="dxa"/>
            <w:vAlign w:val="center"/>
          </w:tcPr>
          <w:p w14:paraId="26AE535B">
            <w:pPr>
              <w:jc w:val="center"/>
            </w:pPr>
          </w:p>
        </w:tc>
        <w:tc>
          <w:tcPr>
            <w:tcW w:w="684" w:type="dxa"/>
            <w:vAlign w:val="center"/>
          </w:tcPr>
          <w:p w14:paraId="2D3B3364">
            <w:pPr>
              <w:jc w:val="center"/>
            </w:pPr>
            <w:r>
              <w:rPr>
                <w:rFonts w:hint="eastAsia"/>
                <w:lang w:val="en-US" w:eastAsia="zh-CN"/>
              </w:rPr>
              <w:t>随堂练习</w:t>
            </w:r>
          </w:p>
        </w:tc>
        <w:tc>
          <w:tcPr>
            <w:tcW w:w="1687" w:type="dxa"/>
            <w:vAlign w:val="center"/>
          </w:tcPr>
          <w:p w14:paraId="45DA327C"/>
        </w:tc>
      </w:tr>
      <w:tr w14:paraId="40A1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5D0AD2ED">
            <w:pPr>
              <w:jc w:val="center"/>
            </w:pPr>
            <w:r>
              <w:rPr>
                <w:rFonts w:hint="eastAsia"/>
              </w:rPr>
              <w:t>4</w:t>
            </w:r>
          </w:p>
        </w:tc>
        <w:tc>
          <w:tcPr>
            <w:tcW w:w="3547" w:type="dxa"/>
            <w:tcBorders>
              <w:left w:val="single" w:color="000000" w:sz="4" w:space="0"/>
            </w:tcBorders>
            <w:vAlign w:val="center"/>
          </w:tcPr>
          <w:p w14:paraId="40BDC4B5">
            <w:pPr>
              <w:rPr>
                <w:rFonts w:ascii="宋体" w:hAnsi="宋体"/>
              </w:rPr>
            </w:pPr>
            <w:r>
              <w:rPr>
                <w:rFonts w:hint="eastAsia" w:ascii="宋体" w:hAnsi="宋体"/>
              </w:rPr>
              <w:t>2.3恰当方程与积分因子</w:t>
            </w:r>
          </w:p>
        </w:tc>
        <w:tc>
          <w:tcPr>
            <w:tcW w:w="684" w:type="dxa"/>
            <w:vAlign w:val="center"/>
          </w:tcPr>
          <w:p w14:paraId="0021AA1C">
            <w:pPr>
              <w:jc w:val="center"/>
              <w:rPr>
                <w:rFonts w:hint="eastAsia" w:eastAsia="宋体"/>
                <w:lang w:eastAsia="zh-CN"/>
              </w:rPr>
            </w:pPr>
            <w:r>
              <w:rPr>
                <w:rFonts w:hint="eastAsia"/>
                <w:lang w:val="en-US" w:eastAsia="zh-CN"/>
              </w:rPr>
              <w:t>3</w:t>
            </w:r>
          </w:p>
        </w:tc>
        <w:tc>
          <w:tcPr>
            <w:tcW w:w="684" w:type="dxa"/>
            <w:vAlign w:val="center"/>
          </w:tcPr>
          <w:p w14:paraId="04A5D977">
            <w:pPr>
              <w:jc w:val="center"/>
            </w:pPr>
          </w:p>
        </w:tc>
        <w:tc>
          <w:tcPr>
            <w:tcW w:w="684" w:type="dxa"/>
            <w:vAlign w:val="center"/>
          </w:tcPr>
          <w:p w14:paraId="1268BC4F">
            <w:pPr>
              <w:jc w:val="center"/>
            </w:pPr>
          </w:p>
        </w:tc>
        <w:tc>
          <w:tcPr>
            <w:tcW w:w="684" w:type="dxa"/>
            <w:vAlign w:val="center"/>
          </w:tcPr>
          <w:p w14:paraId="24A5ECE4">
            <w:pPr>
              <w:jc w:val="center"/>
            </w:pPr>
          </w:p>
        </w:tc>
        <w:tc>
          <w:tcPr>
            <w:tcW w:w="684" w:type="dxa"/>
            <w:vAlign w:val="center"/>
          </w:tcPr>
          <w:p w14:paraId="320D40AC">
            <w:pPr>
              <w:jc w:val="center"/>
            </w:pPr>
            <w:r>
              <w:rPr>
                <w:rFonts w:hint="eastAsia"/>
                <w:lang w:val="en-US" w:eastAsia="zh-CN"/>
              </w:rPr>
              <w:t>随堂练习</w:t>
            </w:r>
          </w:p>
        </w:tc>
        <w:tc>
          <w:tcPr>
            <w:tcW w:w="1687" w:type="dxa"/>
            <w:vAlign w:val="center"/>
          </w:tcPr>
          <w:p w14:paraId="27751D6D">
            <w:pPr>
              <w:ind w:firstLine="105" w:firstLineChars="50"/>
            </w:pPr>
          </w:p>
        </w:tc>
      </w:tr>
      <w:tr w14:paraId="3D09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1F71D26B">
            <w:pPr>
              <w:jc w:val="center"/>
            </w:pPr>
            <w:r>
              <w:rPr>
                <w:rFonts w:hint="eastAsia"/>
              </w:rPr>
              <w:t>5</w:t>
            </w:r>
          </w:p>
        </w:tc>
        <w:tc>
          <w:tcPr>
            <w:tcW w:w="3547" w:type="dxa"/>
            <w:tcBorders>
              <w:left w:val="single" w:color="000000" w:sz="4" w:space="0"/>
            </w:tcBorders>
            <w:vAlign w:val="center"/>
          </w:tcPr>
          <w:p w14:paraId="76E4C88F">
            <w:pPr>
              <w:jc w:val="both"/>
              <w:rPr>
                <w:rFonts w:hint="eastAsia" w:ascii="宋体" w:hAnsi="宋体"/>
              </w:rPr>
            </w:pPr>
            <w:r>
              <w:rPr>
                <w:rFonts w:hint="eastAsia" w:ascii="宋体" w:hAnsi="宋体"/>
              </w:rPr>
              <w:t>2.4 一阶隐式微分方程</w:t>
            </w:r>
          </w:p>
          <w:p w14:paraId="4E8DE5E3">
            <w:pPr>
              <w:jc w:val="both"/>
              <w:rPr>
                <w:rFonts w:ascii="宋体" w:hAnsi="宋体"/>
              </w:rPr>
            </w:pPr>
            <w:r>
              <w:rPr>
                <w:rFonts w:hint="eastAsia" w:ascii="宋体" w:hAnsi="宋体"/>
              </w:rPr>
              <w:t>第二章 习题课</w:t>
            </w:r>
          </w:p>
        </w:tc>
        <w:tc>
          <w:tcPr>
            <w:tcW w:w="684" w:type="dxa"/>
            <w:vAlign w:val="center"/>
          </w:tcPr>
          <w:p w14:paraId="3745D317">
            <w:pPr>
              <w:jc w:val="center"/>
            </w:pPr>
          </w:p>
        </w:tc>
        <w:tc>
          <w:tcPr>
            <w:tcW w:w="684" w:type="dxa"/>
            <w:vAlign w:val="center"/>
          </w:tcPr>
          <w:p w14:paraId="5CD56606">
            <w:pPr>
              <w:jc w:val="center"/>
              <w:rPr>
                <w:rFonts w:hint="default" w:eastAsia="宋体"/>
                <w:lang w:val="en-US" w:eastAsia="zh-CN"/>
              </w:rPr>
            </w:pPr>
            <w:r>
              <w:rPr>
                <w:rFonts w:hint="eastAsia"/>
                <w:lang w:val="en-US" w:eastAsia="zh-CN"/>
              </w:rPr>
              <w:t>2</w:t>
            </w:r>
          </w:p>
        </w:tc>
        <w:tc>
          <w:tcPr>
            <w:tcW w:w="684" w:type="dxa"/>
            <w:vAlign w:val="center"/>
          </w:tcPr>
          <w:p w14:paraId="01FAE1CD">
            <w:pPr>
              <w:jc w:val="center"/>
              <w:rPr>
                <w:rFonts w:hint="default" w:eastAsia="宋体"/>
                <w:lang w:val="en-US" w:eastAsia="zh-CN"/>
              </w:rPr>
            </w:pPr>
            <w:r>
              <w:rPr>
                <w:rFonts w:hint="eastAsia"/>
                <w:lang w:val="en-US" w:eastAsia="zh-CN"/>
              </w:rPr>
              <w:t>1</w:t>
            </w:r>
          </w:p>
        </w:tc>
        <w:tc>
          <w:tcPr>
            <w:tcW w:w="684" w:type="dxa"/>
            <w:vAlign w:val="center"/>
          </w:tcPr>
          <w:p w14:paraId="55882192">
            <w:pPr>
              <w:jc w:val="center"/>
            </w:pPr>
          </w:p>
        </w:tc>
        <w:tc>
          <w:tcPr>
            <w:tcW w:w="684" w:type="dxa"/>
            <w:vAlign w:val="center"/>
          </w:tcPr>
          <w:p w14:paraId="3FCC25CE">
            <w:pPr>
              <w:jc w:val="center"/>
              <w:rPr>
                <w:rFonts w:hint="default" w:eastAsia="宋体"/>
                <w:lang w:val="en-US" w:eastAsia="zh-CN"/>
              </w:rPr>
            </w:pPr>
            <w:r>
              <w:rPr>
                <w:rFonts w:hint="eastAsia"/>
                <w:lang w:val="en-US" w:eastAsia="zh-CN"/>
              </w:rPr>
              <w:t>线上作业</w:t>
            </w:r>
          </w:p>
        </w:tc>
        <w:tc>
          <w:tcPr>
            <w:tcW w:w="1687" w:type="dxa"/>
            <w:vAlign w:val="center"/>
          </w:tcPr>
          <w:p w14:paraId="1B7665AA"/>
        </w:tc>
      </w:tr>
      <w:tr w14:paraId="7891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7A86FEB6">
            <w:pPr>
              <w:jc w:val="center"/>
            </w:pPr>
            <w:r>
              <w:rPr>
                <w:rFonts w:hint="eastAsia"/>
              </w:rPr>
              <w:t>6</w:t>
            </w:r>
          </w:p>
        </w:tc>
        <w:tc>
          <w:tcPr>
            <w:tcW w:w="3547" w:type="dxa"/>
            <w:tcBorders>
              <w:left w:val="single" w:color="000000" w:sz="4" w:space="0"/>
            </w:tcBorders>
            <w:vAlign w:val="center"/>
          </w:tcPr>
          <w:p w14:paraId="077674B3">
            <w:pPr>
              <w:rPr>
                <w:rFonts w:hint="eastAsia" w:ascii="宋体" w:hAnsi="宋体" w:eastAsia="宋体"/>
                <w:lang w:eastAsia="zh-CN"/>
              </w:rPr>
            </w:pPr>
            <w:r>
              <w:rPr>
                <w:rFonts w:hint="eastAsia" w:ascii="宋体" w:hAnsi="宋体"/>
              </w:rPr>
              <w:t>第二章 习题课</w:t>
            </w:r>
            <w:r>
              <w:rPr>
                <w:rFonts w:hint="eastAsia" w:ascii="宋体" w:hAnsi="宋体"/>
                <w:lang w:eastAsia="zh-CN"/>
              </w:rPr>
              <w:t>（</w:t>
            </w:r>
            <w:r>
              <w:rPr>
                <w:rFonts w:hint="eastAsia" w:ascii="宋体" w:hAnsi="宋体"/>
                <w:lang w:val="en-US" w:eastAsia="zh-CN"/>
              </w:rPr>
              <w:t>续</w:t>
            </w:r>
            <w:r>
              <w:rPr>
                <w:rFonts w:hint="eastAsia" w:ascii="宋体" w:hAnsi="宋体"/>
                <w:lang w:eastAsia="zh-CN"/>
              </w:rPr>
              <w:t>）</w:t>
            </w:r>
          </w:p>
          <w:p w14:paraId="0FBAD151">
            <w:pPr>
              <w:rPr>
                <w:rFonts w:hint="eastAsia" w:ascii="宋体" w:hAnsi="宋体"/>
              </w:rPr>
            </w:pPr>
            <w:r>
              <w:rPr>
                <w:rFonts w:hint="eastAsia" w:ascii="宋体" w:hAnsi="宋体"/>
              </w:rPr>
              <w:t>第三章</w:t>
            </w:r>
          </w:p>
          <w:p w14:paraId="0C7AF3E3">
            <w:pPr>
              <w:rPr>
                <w:rFonts w:ascii="宋体" w:hAnsi="宋体"/>
              </w:rPr>
            </w:pPr>
            <w:r>
              <w:rPr>
                <w:rFonts w:hint="eastAsia" w:ascii="宋体" w:hAnsi="宋体"/>
              </w:rPr>
              <w:t>3.1 解的存在唯一性定理</w:t>
            </w:r>
          </w:p>
        </w:tc>
        <w:tc>
          <w:tcPr>
            <w:tcW w:w="684" w:type="dxa"/>
            <w:vAlign w:val="center"/>
          </w:tcPr>
          <w:p w14:paraId="3CB8C6A9">
            <w:pPr>
              <w:jc w:val="center"/>
              <w:rPr>
                <w:rFonts w:hint="eastAsia" w:eastAsia="宋体"/>
                <w:lang w:eastAsia="zh-CN"/>
              </w:rPr>
            </w:pPr>
            <w:r>
              <w:rPr>
                <w:rFonts w:hint="eastAsia"/>
                <w:lang w:val="en-US" w:eastAsia="zh-CN"/>
              </w:rPr>
              <w:t>2</w:t>
            </w:r>
          </w:p>
        </w:tc>
        <w:tc>
          <w:tcPr>
            <w:tcW w:w="684" w:type="dxa"/>
            <w:vAlign w:val="center"/>
          </w:tcPr>
          <w:p w14:paraId="4549D962">
            <w:pPr>
              <w:jc w:val="center"/>
              <w:rPr>
                <w:rFonts w:hint="default" w:eastAsia="宋体"/>
                <w:lang w:val="en-US" w:eastAsia="zh-CN"/>
              </w:rPr>
            </w:pPr>
            <w:r>
              <w:rPr>
                <w:rFonts w:hint="eastAsia"/>
                <w:lang w:val="en-US" w:eastAsia="zh-CN"/>
              </w:rPr>
              <w:t>1</w:t>
            </w:r>
          </w:p>
        </w:tc>
        <w:tc>
          <w:tcPr>
            <w:tcW w:w="684" w:type="dxa"/>
            <w:vAlign w:val="center"/>
          </w:tcPr>
          <w:p w14:paraId="6AB174C9">
            <w:pPr>
              <w:jc w:val="center"/>
            </w:pPr>
          </w:p>
        </w:tc>
        <w:tc>
          <w:tcPr>
            <w:tcW w:w="684" w:type="dxa"/>
            <w:vAlign w:val="center"/>
          </w:tcPr>
          <w:p w14:paraId="5DB9EF08">
            <w:pPr>
              <w:jc w:val="center"/>
            </w:pPr>
          </w:p>
        </w:tc>
        <w:tc>
          <w:tcPr>
            <w:tcW w:w="684" w:type="dxa"/>
            <w:vAlign w:val="center"/>
          </w:tcPr>
          <w:p w14:paraId="15267AB4">
            <w:pPr>
              <w:jc w:val="center"/>
            </w:pPr>
            <w:r>
              <w:rPr>
                <w:rFonts w:hint="eastAsia"/>
                <w:lang w:val="en-US" w:eastAsia="zh-CN"/>
              </w:rPr>
              <w:t>随堂练习</w:t>
            </w:r>
          </w:p>
        </w:tc>
        <w:tc>
          <w:tcPr>
            <w:tcW w:w="1687" w:type="dxa"/>
            <w:vAlign w:val="center"/>
          </w:tcPr>
          <w:p w14:paraId="47AEE466"/>
        </w:tc>
      </w:tr>
      <w:tr w14:paraId="387D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01C644BB">
            <w:pPr>
              <w:jc w:val="center"/>
            </w:pPr>
            <w:r>
              <w:rPr>
                <w:rFonts w:hint="eastAsia"/>
              </w:rPr>
              <w:t>7</w:t>
            </w:r>
          </w:p>
        </w:tc>
        <w:tc>
          <w:tcPr>
            <w:tcW w:w="3547" w:type="dxa"/>
            <w:tcBorders>
              <w:left w:val="single" w:color="000000" w:sz="4" w:space="0"/>
            </w:tcBorders>
            <w:vAlign w:val="center"/>
          </w:tcPr>
          <w:p w14:paraId="75094084">
            <w:pPr>
              <w:rPr>
                <w:rFonts w:hint="eastAsia" w:ascii="宋体" w:hAnsi="宋体" w:eastAsia="宋体"/>
                <w:lang w:eastAsia="zh-CN"/>
              </w:rPr>
            </w:pPr>
            <w:r>
              <w:rPr>
                <w:rFonts w:hint="eastAsia" w:ascii="宋体" w:hAnsi="宋体"/>
              </w:rPr>
              <w:t>3.1 解的存在唯一性定理</w:t>
            </w:r>
            <w:r>
              <w:rPr>
                <w:rFonts w:hint="eastAsia" w:ascii="宋体" w:hAnsi="宋体"/>
                <w:lang w:eastAsia="zh-CN"/>
              </w:rPr>
              <w:t>（</w:t>
            </w:r>
            <w:r>
              <w:rPr>
                <w:rFonts w:hint="eastAsia" w:ascii="宋体" w:hAnsi="宋体"/>
                <w:lang w:val="en-US" w:eastAsia="zh-CN"/>
              </w:rPr>
              <w:t>续</w:t>
            </w:r>
            <w:r>
              <w:rPr>
                <w:rFonts w:hint="eastAsia" w:ascii="宋体" w:hAnsi="宋体"/>
                <w:lang w:eastAsia="zh-CN"/>
              </w:rPr>
              <w:t>）</w:t>
            </w:r>
          </w:p>
          <w:p w14:paraId="4892CD4D">
            <w:pPr>
              <w:rPr>
                <w:rFonts w:ascii="宋体" w:hAnsi="宋体"/>
              </w:rPr>
            </w:pPr>
            <w:r>
              <w:rPr>
                <w:rFonts w:hint="eastAsia" w:ascii="宋体" w:hAnsi="宋体"/>
              </w:rPr>
              <w:t>3.2 解的延拓</w:t>
            </w:r>
          </w:p>
        </w:tc>
        <w:tc>
          <w:tcPr>
            <w:tcW w:w="684" w:type="dxa"/>
            <w:vAlign w:val="center"/>
          </w:tcPr>
          <w:p w14:paraId="1DE8849B">
            <w:pPr>
              <w:ind w:firstLine="210" w:firstLineChars="100"/>
              <w:rPr>
                <w:rFonts w:hint="eastAsia" w:eastAsia="宋体"/>
                <w:lang w:val="en-US" w:eastAsia="zh-CN"/>
              </w:rPr>
            </w:pPr>
            <w:r>
              <w:rPr>
                <w:rFonts w:hint="eastAsia"/>
                <w:lang w:val="en-US" w:eastAsia="zh-CN"/>
              </w:rPr>
              <w:t>3</w:t>
            </w:r>
          </w:p>
        </w:tc>
        <w:tc>
          <w:tcPr>
            <w:tcW w:w="684" w:type="dxa"/>
            <w:vAlign w:val="center"/>
          </w:tcPr>
          <w:p w14:paraId="5F249805">
            <w:pPr>
              <w:jc w:val="center"/>
            </w:pPr>
          </w:p>
        </w:tc>
        <w:tc>
          <w:tcPr>
            <w:tcW w:w="684" w:type="dxa"/>
            <w:vAlign w:val="center"/>
          </w:tcPr>
          <w:p w14:paraId="15183584">
            <w:pPr>
              <w:jc w:val="center"/>
            </w:pPr>
          </w:p>
        </w:tc>
        <w:tc>
          <w:tcPr>
            <w:tcW w:w="684" w:type="dxa"/>
            <w:vAlign w:val="center"/>
          </w:tcPr>
          <w:p w14:paraId="0EEF771C">
            <w:pPr>
              <w:jc w:val="center"/>
            </w:pPr>
          </w:p>
        </w:tc>
        <w:tc>
          <w:tcPr>
            <w:tcW w:w="684" w:type="dxa"/>
            <w:vAlign w:val="center"/>
          </w:tcPr>
          <w:p w14:paraId="66DAE963">
            <w:pPr>
              <w:jc w:val="center"/>
            </w:pPr>
            <w:r>
              <w:rPr>
                <w:rFonts w:hint="eastAsia"/>
                <w:lang w:val="en-US" w:eastAsia="zh-CN"/>
              </w:rPr>
              <w:t>随堂练习</w:t>
            </w:r>
          </w:p>
        </w:tc>
        <w:tc>
          <w:tcPr>
            <w:tcW w:w="1687" w:type="dxa"/>
            <w:vAlign w:val="center"/>
          </w:tcPr>
          <w:p w14:paraId="6258C9AF"/>
        </w:tc>
      </w:tr>
      <w:tr w14:paraId="5578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7626324F">
            <w:pPr>
              <w:jc w:val="center"/>
            </w:pPr>
            <w:r>
              <w:rPr>
                <w:rFonts w:hint="eastAsia"/>
              </w:rPr>
              <w:t>8</w:t>
            </w:r>
          </w:p>
        </w:tc>
        <w:tc>
          <w:tcPr>
            <w:tcW w:w="3547" w:type="dxa"/>
            <w:tcBorders>
              <w:left w:val="single" w:color="000000" w:sz="4" w:space="0"/>
            </w:tcBorders>
            <w:vAlign w:val="center"/>
          </w:tcPr>
          <w:p w14:paraId="010D32FE">
            <w:pPr>
              <w:rPr>
                <w:rFonts w:hint="eastAsia" w:ascii="宋体" w:hAnsi="宋体"/>
              </w:rPr>
            </w:pPr>
            <w:r>
              <w:rPr>
                <w:rFonts w:hint="eastAsia" w:ascii="宋体" w:hAnsi="宋体"/>
              </w:rPr>
              <w:t>习题课</w:t>
            </w:r>
          </w:p>
          <w:p w14:paraId="205A4B5A">
            <w:pPr>
              <w:rPr>
                <w:rFonts w:ascii="宋体" w:hAnsi="宋体"/>
              </w:rPr>
            </w:pPr>
            <w:r>
              <w:rPr>
                <w:rFonts w:hint="eastAsia" w:ascii="宋体" w:hAnsi="宋体"/>
              </w:rPr>
              <w:t>第四章 高阶微分方程</w:t>
            </w:r>
          </w:p>
          <w:p w14:paraId="36FF3854">
            <w:pPr>
              <w:rPr>
                <w:rFonts w:ascii="宋体" w:hAnsi="宋体"/>
              </w:rPr>
            </w:pPr>
            <w:r>
              <w:rPr>
                <w:rFonts w:hint="eastAsia" w:ascii="宋体" w:hAnsi="宋体"/>
              </w:rPr>
              <w:t>4.1 线性微分方程的一般理论</w:t>
            </w:r>
          </w:p>
        </w:tc>
        <w:tc>
          <w:tcPr>
            <w:tcW w:w="684" w:type="dxa"/>
            <w:vAlign w:val="center"/>
          </w:tcPr>
          <w:p w14:paraId="7DF84762">
            <w:pPr>
              <w:jc w:val="center"/>
              <w:rPr>
                <w:rFonts w:hint="default" w:eastAsia="宋体"/>
                <w:lang w:val="en-US" w:eastAsia="zh-CN"/>
              </w:rPr>
            </w:pPr>
            <w:r>
              <w:rPr>
                <w:rFonts w:hint="eastAsia"/>
                <w:lang w:val="en-US" w:eastAsia="zh-CN"/>
              </w:rPr>
              <w:t>2</w:t>
            </w:r>
          </w:p>
        </w:tc>
        <w:tc>
          <w:tcPr>
            <w:tcW w:w="684" w:type="dxa"/>
            <w:vAlign w:val="center"/>
          </w:tcPr>
          <w:p w14:paraId="4B36DE6E">
            <w:pPr>
              <w:jc w:val="center"/>
              <w:rPr>
                <w:rFonts w:hint="default" w:eastAsia="宋体"/>
                <w:lang w:val="en-US" w:eastAsia="zh-CN"/>
              </w:rPr>
            </w:pPr>
            <w:r>
              <w:rPr>
                <w:rFonts w:hint="eastAsia"/>
                <w:lang w:val="en-US" w:eastAsia="zh-CN"/>
              </w:rPr>
              <w:t>1</w:t>
            </w:r>
          </w:p>
        </w:tc>
        <w:tc>
          <w:tcPr>
            <w:tcW w:w="684" w:type="dxa"/>
            <w:vAlign w:val="center"/>
          </w:tcPr>
          <w:p w14:paraId="29EB1CAC">
            <w:pPr>
              <w:jc w:val="center"/>
            </w:pPr>
          </w:p>
        </w:tc>
        <w:tc>
          <w:tcPr>
            <w:tcW w:w="684" w:type="dxa"/>
            <w:vAlign w:val="center"/>
          </w:tcPr>
          <w:p w14:paraId="70A5E2AF">
            <w:pPr>
              <w:jc w:val="center"/>
            </w:pPr>
          </w:p>
        </w:tc>
        <w:tc>
          <w:tcPr>
            <w:tcW w:w="684" w:type="dxa"/>
            <w:vAlign w:val="center"/>
          </w:tcPr>
          <w:p w14:paraId="2733528E">
            <w:pPr>
              <w:jc w:val="center"/>
            </w:pPr>
            <w:r>
              <w:rPr>
                <w:rFonts w:hint="eastAsia"/>
                <w:lang w:val="en-US" w:eastAsia="zh-CN"/>
              </w:rPr>
              <w:t>线上作业</w:t>
            </w:r>
          </w:p>
        </w:tc>
        <w:tc>
          <w:tcPr>
            <w:tcW w:w="1687" w:type="dxa"/>
            <w:vAlign w:val="center"/>
          </w:tcPr>
          <w:p w14:paraId="71B601B6"/>
        </w:tc>
      </w:tr>
      <w:tr w14:paraId="1E60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14:paraId="69197129">
            <w:pPr>
              <w:jc w:val="center"/>
            </w:pPr>
            <w:r>
              <w:rPr>
                <w:rFonts w:hint="eastAsia"/>
              </w:rPr>
              <w:t>9</w:t>
            </w:r>
          </w:p>
        </w:tc>
        <w:tc>
          <w:tcPr>
            <w:tcW w:w="3547" w:type="dxa"/>
            <w:tcBorders>
              <w:left w:val="single" w:color="000000" w:sz="4" w:space="0"/>
            </w:tcBorders>
            <w:vAlign w:val="center"/>
          </w:tcPr>
          <w:p w14:paraId="4EF530F4">
            <w:pPr>
              <w:rPr>
                <w:rFonts w:ascii="宋体" w:hAnsi="宋体"/>
              </w:rPr>
            </w:pPr>
            <w:r>
              <w:rPr>
                <w:rFonts w:hint="eastAsia" w:ascii="宋体" w:hAnsi="宋体"/>
              </w:rPr>
              <w:t>4.2 常系数线性微分方程</w:t>
            </w:r>
          </w:p>
        </w:tc>
        <w:tc>
          <w:tcPr>
            <w:tcW w:w="684" w:type="dxa"/>
            <w:vAlign w:val="center"/>
          </w:tcPr>
          <w:p w14:paraId="21D8E156">
            <w:pPr>
              <w:jc w:val="center"/>
              <w:rPr>
                <w:rFonts w:hint="default" w:eastAsia="宋体"/>
                <w:lang w:val="en-US" w:eastAsia="zh-CN"/>
              </w:rPr>
            </w:pPr>
            <w:r>
              <w:rPr>
                <w:rFonts w:hint="eastAsia"/>
                <w:lang w:val="en-US" w:eastAsia="zh-CN"/>
              </w:rPr>
              <w:t>3</w:t>
            </w:r>
          </w:p>
        </w:tc>
        <w:tc>
          <w:tcPr>
            <w:tcW w:w="684" w:type="dxa"/>
            <w:vAlign w:val="center"/>
          </w:tcPr>
          <w:p w14:paraId="2961FC64">
            <w:pPr>
              <w:jc w:val="center"/>
            </w:pPr>
          </w:p>
        </w:tc>
        <w:tc>
          <w:tcPr>
            <w:tcW w:w="684" w:type="dxa"/>
            <w:vAlign w:val="center"/>
          </w:tcPr>
          <w:p w14:paraId="3F15B8E4">
            <w:pPr>
              <w:jc w:val="center"/>
            </w:pPr>
          </w:p>
        </w:tc>
        <w:tc>
          <w:tcPr>
            <w:tcW w:w="684" w:type="dxa"/>
            <w:vAlign w:val="center"/>
          </w:tcPr>
          <w:p w14:paraId="1FAE2CEB">
            <w:pPr>
              <w:jc w:val="center"/>
            </w:pPr>
          </w:p>
        </w:tc>
        <w:tc>
          <w:tcPr>
            <w:tcW w:w="684" w:type="dxa"/>
            <w:vAlign w:val="center"/>
          </w:tcPr>
          <w:p w14:paraId="0980D8AD">
            <w:pPr>
              <w:jc w:val="center"/>
            </w:pPr>
            <w:r>
              <w:rPr>
                <w:rFonts w:hint="eastAsia"/>
                <w:lang w:val="en-US" w:eastAsia="zh-CN"/>
              </w:rPr>
              <w:t>随堂练习</w:t>
            </w:r>
          </w:p>
        </w:tc>
        <w:tc>
          <w:tcPr>
            <w:tcW w:w="1687" w:type="dxa"/>
            <w:vAlign w:val="center"/>
          </w:tcPr>
          <w:p w14:paraId="6978C7F4"/>
        </w:tc>
      </w:tr>
      <w:tr w14:paraId="7E5B8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jc w:val="center"/>
        </w:trPr>
        <w:tc>
          <w:tcPr>
            <w:tcW w:w="454" w:type="dxa"/>
            <w:tcBorders>
              <w:right w:val="single" w:color="000000" w:sz="4" w:space="0"/>
            </w:tcBorders>
            <w:vAlign w:val="center"/>
          </w:tcPr>
          <w:p w14:paraId="7585B953">
            <w:pPr>
              <w:jc w:val="center"/>
            </w:pPr>
            <w:r>
              <w:rPr>
                <w:rFonts w:hint="eastAsia"/>
              </w:rPr>
              <w:t>10</w:t>
            </w:r>
          </w:p>
        </w:tc>
        <w:tc>
          <w:tcPr>
            <w:tcW w:w="3547" w:type="dxa"/>
            <w:tcBorders>
              <w:left w:val="single" w:color="000000" w:sz="4" w:space="0"/>
            </w:tcBorders>
            <w:vAlign w:val="center"/>
          </w:tcPr>
          <w:p w14:paraId="08B9B42E">
            <w:pPr>
              <w:jc w:val="left"/>
              <w:rPr>
                <w:rFonts w:hint="eastAsia" w:ascii="宋体" w:hAnsi="宋体" w:eastAsia="宋体"/>
                <w:lang w:eastAsia="zh-CN"/>
              </w:rPr>
            </w:pPr>
            <w:r>
              <w:rPr>
                <w:rFonts w:hint="eastAsia" w:ascii="宋体" w:hAnsi="宋体"/>
              </w:rPr>
              <w:t>4.2 常系数线性微分方程</w:t>
            </w:r>
            <w:r>
              <w:rPr>
                <w:rFonts w:hint="eastAsia" w:ascii="宋体" w:hAnsi="宋体"/>
                <w:lang w:eastAsia="zh-CN"/>
              </w:rPr>
              <w:t>（</w:t>
            </w:r>
            <w:r>
              <w:rPr>
                <w:rFonts w:hint="eastAsia" w:ascii="宋体" w:hAnsi="宋体"/>
                <w:lang w:val="en-US" w:eastAsia="zh-CN"/>
              </w:rPr>
              <w:t>续</w:t>
            </w:r>
            <w:r>
              <w:rPr>
                <w:rFonts w:hint="eastAsia" w:ascii="宋体" w:hAnsi="宋体"/>
                <w:lang w:eastAsia="zh-CN"/>
              </w:rPr>
              <w:t>）</w:t>
            </w:r>
          </w:p>
          <w:p w14:paraId="4D4FDC0F">
            <w:pPr>
              <w:jc w:val="left"/>
              <w:rPr>
                <w:rFonts w:hint="default" w:ascii="宋体" w:hAnsi="宋体" w:eastAsia="宋体"/>
                <w:lang w:val="en-US" w:eastAsia="zh-CN"/>
              </w:rPr>
            </w:pPr>
            <w:r>
              <w:rPr>
                <w:rFonts w:hint="eastAsia" w:ascii="宋体" w:hAnsi="宋体"/>
              </w:rPr>
              <w:t>4.3高阶微分方程</w:t>
            </w:r>
            <w:r>
              <w:rPr>
                <w:rFonts w:hint="eastAsia" w:ascii="宋体" w:hAnsi="宋体"/>
                <w:lang w:val="en-US" w:eastAsia="zh-CN"/>
              </w:rPr>
              <w:t>的降阶</w:t>
            </w:r>
          </w:p>
        </w:tc>
        <w:tc>
          <w:tcPr>
            <w:tcW w:w="684" w:type="dxa"/>
            <w:vAlign w:val="center"/>
          </w:tcPr>
          <w:p w14:paraId="0E3D5D44">
            <w:pPr>
              <w:jc w:val="center"/>
              <w:rPr>
                <w:rFonts w:hint="default" w:eastAsia="宋体"/>
                <w:lang w:val="en-US" w:eastAsia="zh-CN"/>
              </w:rPr>
            </w:pPr>
            <w:r>
              <w:rPr>
                <w:rFonts w:hint="eastAsia"/>
                <w:lang w:val="en-US" w:eastAsia="zh-CN"/>
              </w:rPr>
              <w:t>3</w:t>
            </w:r>
          </w:p>
        </w:tc>
        <w:tc>
          <w:tcPr>
            <w:tcW w:w="684" w:type="dxa"/>
            <w:vAlign w:val="center"/>
          </w:tcPr>
          <w:p w14:paraId="4AE661EB">
            <w:pPr>
              <w:jc w:val="center"/>
              <w:rPr>
                <w:rFonts w:hint="eastAsia" w:eastAsia="宋体"/>
                <w:lang w:val="en-US" w:eastAsia="zh-CN"/>
              </w:rPr>
            </w:pPr>
          </w:p>
        </w:tc>
        <w:tc>
          <w:tcPr>
            <w:tcW w:w="684" w:type="dxa"/>
            <w:vAlign w:val="center"/>
          </w:tcPr>
          <w:p w14:paraId="053EF17F">
            <w:pPr>
              <w:jc w:val="center"/>
            </w:pPr>
          </w:p>
        </w:tc>
        <w:tc>
          <w:tcPr>
            <w:tcW w:w="684" w:type="dxa"/>
            <w:vAlign w:val="center"/>
          </w:tcPr>
          <w:p w14:paraId="3CB27C2C">
            <w:pPr>
              <w:jc w:val="center"/>
            </w:pPr>
          </w:p>
        </w:tc>
        <w:tc>
          <w:tcPr>
            <w:tcW w:w="684" w:type="dxa"/>
            <w:vAlign w:val="center"/>
          </w:tcPr>
          <w:p w14:paraId="014F75F3">
            <w:pPr>
              <w:jc w:val="center"/>
            </w:pPr>
            <w:r>
              <w:rPr>
                <w:rFonts w:hint="eastAsia"/>
                <w:lang w:val="en-US" w:eastAsia="zh-CN"/>
              </w:rPr>
              <w:t>随堂练习</w:t>
            </w:r>
          </w:p>
        </w:tc>
        <w:tc>
          <w:tcPr>
            <w:tcW w:w="1687" w:type="dxa"/>
            <w:vAlign w:val="center"/>
          </w:tcPr>
          <w:p w14:paraId="69A1A0F5"/>
        </w:tc>
      </w:tr>
      <w:tr w14:paraId="0CA3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454" w:type="dxa"/>
            <w:tcBorders>
              <w:right w:val="single" w:color="000000" w:sz="4" w:space="0"/>
            </w:tcBorders>
            <w:vAlign w:val="center"/>
          </w:tcPr>
          <w:p w14:paraId="6B80F750">
            <w:pPr>
              <w:jc w:val="center"/>
            </w:pPr>
            <w:r>
              <w:rPr>
                <w:rFonts w:hint="eastAsia"/>
              </w:rPr>
              <w:t>11</w:t>
            </w:r>
          </w:p>
        </w:tc>
        <w:tc>
          <w:tcPr>
            <w:tcW w:w="3547" w:type="dxa"/>
            <w:tcBorders>
              <w:left w:val="single" w:color="000000" w:sz="4" w:space="0"/>
            </w:tcBorders>
            <w:vAlign w:val="center"/>
          </w:tcPr>
          <w:p w14:paraId="38AA694E">
            <w:pPr>
              <w:rPr>
                <w:rFonts w:ascii="宋体" w:hAnsi="宋体"/>
              </w:rPr>
            </w:pPr>
            <w:r>
              <w:rPr>
                <w:rFonts w:hint="eastAsia" w:ascii="宋体" w:hAnsi="宋体"/>
              </w:rPr>
              <w:t>习题课</w:t>
            </w:r>
          </w:p>
        </w:tc>
        <w:tc>
          <w:tcPr>
            <w:tcW w:w="684" w:type="dxa"/>
            <w:vAlign w:val="center"/>
          </w:tcPr>
          <w:p w14:paraId="68FDB6DB">
            <w:pPr>
              <w:jc w:val="center"/>
            </w:pPr>
          </w:p>
        </w:tc>
        <w:tc>
          <w:tcPr>
            <w:tcW w:w="684" w:type="dxa"/>
            <w:vAlign w:val="center"/>
          </w:tcPr>
          <w:p w14:paraId="5EAC2F33">
            <w:pPr>
              <w:jc w:val="center"/>
              <w:rPr>
                <w:rFonts w:hint="default" w:eastAsia="宋体"/>
                <w:lang w:val="en-US" w:eastAsia="zh-CN"/>
              </w:rPr>
            </w:pPr>
            <w:r>
              <w:rPr>
                <w:rFonts w:hint="eastAsia"/>
                <w:lang w:val="en-US" w:eastAsia="zh-CN"/>
              </w:rPr>
              <w:t>3</w:t>
            </w:r>
          </w:p>
        </w:tc>
        <w:tc>
          <w:tcPr>
            <w:tcW w:w="684" w:type="dxa"/>
            <w:vAlign w:val="center"/>
          </w:tcPr>
          <w:p w14:paraId="7A9AF606">
            <w:pPr>
              <w:jc w:val="center"/>
            </w:pPr>
          </w:p>
        </w:tc>
        <w:tc>
          <w:tcPr>
            <w:tcW w:w="684" w:type="dxa"/>
            <w:vAlign w:val="center"/>
          </w:tcPr>
          <w:p w14:paraId="562801E4">
            <w:pPr>
              <w:jc w:val="center"/>
            </w:pPr>
          </w:p>
        </w:tc>
        <w:tc>
          <w:tcPr>
            <w:tcW w:w="684" w:type="dxa"/>
            <w:vAlign w:val="center"/>
          </w:tcPr>
          <w:p w14:paraId="0E23E9EF">
            <w:pPr>
              <w:jc w:val="center"/>
            </w:pPr>
            <w:r>
              <w:rPr>
                <w:rFonts w:hint="eastAsia"/>
                <w:lang w:val="en-US" w:eastAsia="zh-CN"/>
              </w:rPr>
              <w:t>线上作业</w:t>
            </w:r>
          </w:p>
        </w:tc>
        <w:tc>
          <w:tcPr>
            <w:tcW w:w="1687" w:type="dxa"/>
            <w:vAlign w:val="center"/>
          </w:tcPr>
          <w:p w14:paraId="1C12D5A8"/>
        </w:tc>
      </w:tr>
      <w:tr w14:paraId="5A8C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454" w:type="dxa"/>
            <w:tcBorders>
              <w:right w:val="single" w:color="000000" w:sz="4" w:space="0"/>
            </w:tcBorders>
            <w:vAlign w:val="center"/>
          </w:tcPr>
          <w:p w14:paraId="3B2CEF49">
            <w:pPr>
              <w:jc w:val="center"/>
            </w:pPr>
            <w:r>
              <w:rPr>
                <w:rFonts w:hint="eastAsia"/>
              </w:rPr>
              <w:t>12</w:t>
            </w:r>
          </w:p>
        </w:tc>
        <w:tc>
          <w:tcPr>
            <w:tcW w:w="3547" w:type="dxa"/>
            <w:tcBorders>
              <w:left w:val="single" w:color="000000" w:sz="4" w:space="0"/>
            </w:tcBorders>
            <w:vAlign w:val="center"/>
          </w:tcPr>
          <w:p w14:paraId="5FBB97EC">
            <w:pPr>
              <w:rPr>
                <w:rFonts w:ascii="宋体" w:hAnsi="宋体"/>
              </w:rPr>
            </w:pPr>
            <w:r>
              <w:rPr>
                <w:rFonts w:hint="eastAsia" w:ascii="宋体" w:hAnsi="宋体"/>
              </w:rPr>
              <w:t>第五章 线性微分方程组</w:t>
            </w:r>
          </w:p>
          <w:p w14:paraId="4CA7A7B0">
            <w:pPr>
              <w:rPr>
                <w:rFonts w:hint="eastAsia" w:ascii="宋体" w:hAnsi="宋体"/>
              </w:rPr>
            </w:pPr>
            <w:r>
              <w:rPr>
                <w:rFonts w:hint="eastAsia" w:ascii="宋体" w:hAnsi="宋体"/>
              </w:rPr>
              <w:t>5.1 线性微分方程组的一般理论</w:t>
            </w:r>
          </w:p>
          <w:p w14:paraId="5B341442">
            <w:pPr>
              <w:rPr>
                <w:rFonts w:ascii="宋体" w:hAnsi="宋体"/>
              </w:rPr>
            </w:pPr>
          </w:p>
        </w:tc>
        <w:tc>
          <w:tcPr>
            <w:tcW w:w="684" w:type="dxa"/>
            <w:vAlign w:val="center"/>
          </w:tcPr>
          <w:p w14:paraId="449DF7A8">
            <w:pPr>
              <w:jc w:val="center"/>
              <w:rPr>
                <w:rFonts w:hint="eastAsia" w:eastAsia="宋体"/>
                <w:lang w:val="en-US" w:eastAsia="zh-CN"/>
              </w:rPr>
            </w:pPr>
            <w:r>
              <w:rPr>
                <w:rFonts w:hint="eastAsia"/>
                <w:lang w:val="en-US" w:eastAsia="zh-CN"/>
              </w:rPr>
              <w:t>3</w:t>
            </w:r>
          </w:p>
        </w:tc>
        <w:tc>
          <w:tcPr>
            <w:tcW w:w="684" w:type="dxa"/>
            <w:vAlign w:val="center"/>
          </w:tcPr>
          <w:p w14:paraId="6660FCBC">
            <w:pPr>
              <w:jc w:val="center"/>
            </w:pPr>
          </w:p>
        </w:tc>
        <w:tc>
          <w:tcPr>
            <w:tcW w:w="684" w:type="dxa"/>
            <w:vAlign w:val="center"/>
          </w:tcPr>
          <w:p w14:paraId="04F03BAA">
            <w:pPr>
              <w:jc w:val="center"/>
            </w:pPr>
          </w:p>
        </w:tc>
        <w:tc>
          <w:tcPr>
            <w:tcW w:w="684" w:type="dxa"/>
            <w:vAlign w:val="center"/>
          </w:tcPr>
          <w:p w14:paraId="2EA16100">
            <w:pPr>
              <w:jc w:val="center"/>
            </w:pPr>
          </w:p>
        </w:tc>
        <w:tc>
          <w:tcPr>
            <w:tcW w:w="684" w:type="dxa"/>
            <w:vAlign w:val="center"/>
          </w:tcPr>
          <w:p w14:paraId="722132AC">
            <w:pPr>
              <w:jc w:val="center"/>
            </w:pPr>
            <w:r>
              <w:rPr>
                <w:rFonts w:hint="eastAsia"/>
                <w:lang w:val="en-US" w:eastAsia="zh-CN"/>
              </w:rPr>
              <w:t>随堂练习</w:t>
            </w:r>
          </w:p>
        </w:tc>
        <w:tc>
          <w:tcPr>
            <w:tcW w:w="1687" w:type="dxa"/>
            <w:vAlign w:val="center"/>
          </w:tcPr>
          <w:p w14:paraId="42B94B82"/>
        </w:tc>
      </w:tr>
      <w:tr w14:paraId="6FED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54" w:type="dxa"/>
            <w:tcBorders>
              <w:right w:val="single" w:color="000000" w:sz="4" w:space="0"/>
            </w:tcBorders>
            <w:vAlign w:val="center"/>
          </w:tcPr>
          <w:p w14:paraId="397B904D">
            <w:pPr>
              <w:jc w:val="center"/>
            </w:pPr>
            <w:r>
              <w:rPr>
                <w:rFonts w:hint="eastAsia"/>
              </w:rPr>
              <w:t>13</w:t>
            </w:r>
          </w:p>
        </w:tc>
        <w:tc>
          <w:tcPr>
            <w:tcW w:w="3547" w:type="dxa"/>
            <w:tcBorders>
              <w:left w:val="single" w:color="000000" w:sz="4" w:space="0"/>
            </w:tcBorders>
            <w:vAlign w:val="center"/>
          </w:tcPr>
          <w:p w14:paraId="5CA27403">
            <w:pPr>
              <w:rPr>
                <w:rFonts w:ascii="宋体" w:hAnsi="宋体"/>
              </w:rPr>
            </w:pPr>
            <w:r>
              <w:rPr>
                <w:rFonts w:hint="eastAsia" w:ascii="宋体" w:hAnsi="宋体"/>
              </w:rPr>
              <w:t>5.2 常系数线性微分方程组</w:t>
            </w:r>
          </w:p>
        </w:tc>
        <w:tc>
          <w:tcPr>
            <w:tcW w:w="684" w:type="dxa"/>
            <w:vAlign w:val="center"/>
          </w:tcPr>
          <w:p w14:paraId="2D5A4EF3">
            <w:pPr>
              <w:jc w:val="center"/>
              <w:rPr>
                <w:rFonts w:hint="eastAsia" w:eastAsia="宋体"/>
                <w:lang w:val="en-US" w:eastAsia="zh-CN"/>
              </w:rPr>
            </w:pPr>
            <w:r>
              <w:rPr>
                <w:rFonts w:hint="eastAsia"/>
                <w:lang w:val="en-US" w:eastAsia="zh-CN"/>
              </w:rPr>
              <w:t>3</w:t>
            </w:r>
          </w:p>
        </w:tc>
        <w:tc>
          <w:tcPr>
            <w:tcW w:w="684" w:type="dxa"/>
            <w:vAlign w:val="center"/>
          </w:tcPr>
          <w:p w14:paraId="3EDF0574">
            <w:pPr>
              <w:jc w:val="center"/>
            </w:pPr>
          </w:p>
        </w:tc>
        <w:tc>
          <w:tcPr>
            <w:tcW w:w="684" w:type="dxa"/>
            <w:vAlign w:val="center"/>
          </w:tcPr>
          <w:p w14:paraId="6AB34275">
            <w:pPr>
              <w:jc w:val="center"/>
            </w:pPr>
          </w:p>
        </w:tc>
        <w:tc>
          <w:tcPr>
            <w:tcW w:w="684" w:type="dxa"/>
            <w:vAlign w:val="center"/>
          </w:tcPr>
          <w:p w14:paraId="4905A451">
            <w:pPr>
              <w:jc w:val="center"/>
            </w:pPr>
          </w:p>
        </w:tc>
        <w:tc>
          <w:tcPr>
            <w:tcW w:w="684" w:type="dxa"/>
            <w:vAlign w:val="center"/>
          </w:tcPr>
          <w:p w14:paraId="108BE47D">
            <w:pPr>
              <w:jc w:val="center"/>
            </w:pPr>
          </w:p>
        </w:tc>
        <w:tc>
          <w:tcPr>
            <w:tcW w:w="1687" w:type="dxa"/>
            <w:vAlign w:val="center"/>
          </w:tcPr>
          <w:p w14:paraId="400D7F68"/>
        </w:tc>
      </w:tr>
      <w:tr w14:paraId="2E01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454" w:type="dxa"/>
            <w:tcBorders>
              <w:right w:val="single" w:color="000000" w:sz="4" w:space="0"/>
            </w:tcBorders>
            <w:vAlign w:val="center"/>
          </w:tcPr>
          <w:p w14:paraId="63E76074">
            <w:pPr>
              <w:jc w:val="center"/>
            </w:pPr>
            <w:r>
              <w:rPr>
                <w:rFonts w:hint="eastAsia"/>
              </w:rPr>
              <w:t>14</w:t>
            </w:r>
          </w:p>
        </w:tc>
        <w:tc>
          <w:tcPr>
            <w:tcW w:w="3547" w:type="dxa"/>
            <w:tcBorders>
              <w:left w:val="single" w:color="000000" w:sz="4" w:space="0"/>
            </w:tcBorders>
            <w:vAlign w:val="center"/>
          </w:tcPr>
          <w:p w14:paraId="58BB5E3C">
            <w:pPr>
              <w:rPr>
                <w:rFonts w:hint="default" w:ascii="宋体" w:hAnsi="宋体" w:eastAsia="宋体"/>
                <w:lang w:val="en-US" w:eastAsia="zh-CN"/>
              </w:rPr>
            </w:pPr>
            <w:r>
              <w:rPr>
                <w:rFonts w:hint="eastAsia" w:ascii="宋体" w:hAnsi="宋体"/>
              </w:rPr>
              <w:t>5.3</w:t>
            </w:r>
            <w:r>
              <w:rPr>
                <w:rFonts w:hint="eastAsia" w:ascii="宋体" w:hAnsi="宋体"/>
                <w:lang w:val="en-US" w:eastAsia="zh-CN"/>
              </w:rPr>
              <w:t xml:space="preserve"> 拉普拉斯变换</w:t>
            </w:r>
          </w:p>
        </w:tc>
        <w:tc>
          <w:tcPr>
            <w:tcW w:w="684" w:type="dxa"/>
            <w:vAlign w:val="center"/>
          </w:tcPr>
          <w:p w14:paraId="0187B5F8">
            <w:pPr>
              <w:jc w:val="center"/>
              <w:rPr>
                <w:rFonts w:hint="default" w:eastAsia="宋体"/>
                <w:lang w:val="en-US" w:eastAsia="zh-CN"/>
              </w:rPr>
            </w:pPr>
            <w:r>
              <w:rPr>
                <w:rFonts w:hint="eastAsia"/>
                <w:lang w:val="en-US" w:eastAsia="zh-CN"/>
              </w:rPr>
              <w:t>3</w:t>
            </w:r>
          </w:p>
        </w:tc>
        <w:tc>
          <w:tcPr>
            <w:tcW w:w="684" w:type="dxa"/>
            <w:vAlign w:val="center"/>
          </w:tcPr>
          <w:p w14:paraId="21B5C1E1">
            <w:pPr>
              <w:jc w:val="center"/>
            </w:pPr>
          </w:p>
        </w:tc>
        <w:tc>
          <w:tcPr>
            <w:tcW w:w="684" w:type="dxa"/>
            <w:vAlign w:val="center"/>
          </w:tcPr>
          <w:p w14:paraId="6365EFFE">
            <w:pPr>
              <w:jc w:val="center"/>
            </w:pPr>
          </w:p>
        </w:tc>
        <w:tc>
          <w:tcPr>
            <w:tcW w:w="684" w:type="dxa"/>
            <w:vAlign w:val="center"/>
          </w:tcPr>
          <w:p w14:paraId="1C7F8629">
            <w:pPr>
              <w:jc w:val="center"/>
            </w:pPr>
          </w:p>
        </w:tc>
        <w:tc>
          <w:tcPr>
            <w:tcW w:w="684" w:type="dxa"/>
            <w:vAlign w:val="center"/>
          </w:tcPr>
          <w:p w14:paraId="3361CA25">
            <w:pPr>
              <w:jc w:val="center"/>
            </w:pPr>
          </w:p>
        </w:tc>
        <w:tc>
          <w:tcPr>
            <w:tcW w:w="1687" w:type="dxa"/>
            <w:vAlign w:val="center"/>
          </w:tcPr>
          <w:p w14:paraId="1417B9EC"/>
        </w:tc>
      </w:tr>
      <w:tr w14:paraId="766E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454" w:type="dxa"/>
            <w:tcBorders>
              <w:right w:val="single" w:color="000000" w:sz="4" w:space="0"/>
            </w:tcBorders>
            <w:vAlign w:val="center"/>
          </w:tcPr>
          <w:p w14:paraId="1710FF61">
            <w:pPr>
              <w:jc w:val="center"/>
            </w:pPr>
            <w:r>
              <w:rPr>
                <w:rFonts w:hint="eastAsia"/>
              </w:rPr>
              <w:t>15</w:t>
            </w:r>
          </w:p>
        </w:tc>
        <w:tc>
          <w:tcPr>
            <w:tcW w:w="3547" w:type="dxa"/>
            <w:tcBorders>
              <w:left w:val="single" w:color="000000" w:sz="4" w:space="0"/>
            </w:tcBorders>
          </w:tcPr>
          <w:p w14:paraId="0B3DCFF6">
            <w:pPr>
              <w:rPr>
                <w:rFonts w:hint="eastAsia" w:ascii="宋体" w:hAnsi="宋体"/>
              </w:rPr>
            </w:pPr>
            <w:r>
              <w:rPr>
                <w:rFonts w:hint="eastAsia" w:ascii="宋体" w:hAnsi="宋体"/>
              </w:rPr>
              <w:t>习题课</w:t>
            </w:r>
          </w:p>
          <w:p w14:paraId="2EA0F373">
            <w:pPr>
              <w:rPr>
                <w:rFonts w:ascii="宋体" w:hAnsi="宋体"/>
              </w:rPr>
            </w:pPr>
            <w:r>
              <w:rPr>
                <w:rFonts w:hint="eastAsia" w:ascii="宋体" w:hAnsi="宋体"/>
              </w:rPr>
              <w:t>第六章 非线性微分方程 介绍</w:t>
            </w:r>
          </w:p>
        </w:tc>
        <w:tc>
          <w:tcPr>
            <w:tcW w:w="684" w:type="dxa"/>
            <w:vAlign w:val="center"/>
          </w:tcPr>
          <w:p w14:paraId="03EFD320">
            <w:pPr>
              <w:jc w:val="center"/>
            </w:pPr>
          </w:p>
        </w:tc>
        <w:tc>
          <w:tcPr>
            <w:tcW w:w="684" w:type="dxa"/>
            <w:vAlign w:val="center"/>
          </w:tcPr>
          <w:p w14:paraId="5AB2516A">
            <w:pPr>
              <w:jc w:val="center"/>
              <w:rPr>
                <w:rFonts w:hint="default" w:eastAsia="宋体"/>
                <w:lang w:val="en-US" w:eastAsia="zh-CN"/>
              </w:rPr>
            </w:pPr>
            <w:r>
              <w:rPr>
                <w:rFonts w:hint="eastAsia"/>
                <w:lang w:val="en-US" w:eastAsia="zh-CN"/>
              </w:rPr>
              <w:t>3</w:t>
            </w:r>
          </w:p>
        </w:tc>
        <w:tc>
          <w:tcPr>
            <w:tcW w:w="684" w:type="dxa"/>
            <w:vAlign w:val="center"/>
          </w:tcPr>
          <w:p w14:paraId="24C9DB2C">
            <w:pPr>
              <w:jc w:val="center"/>
            </w:pPr>
          </w:p>
        </w:tc>
        <w:tc>
          <w:tcPr>
            <w:tcW w:w="684" w:type="dxa"/>
            <w:vAlign w:val="center"/>
          </w:tcPr>
          <w:p w14:paraId="54A23DEB">
            <w:pPr>
              <w:jc w:val="center"/>
            </w:pPr>
          </w:p>
        </w:tc>
        <w:tc>
          <w:tcPr>
            <w:tcW w:w="684" w:type="dxa"/>
            <w:vAlign w:val="center"/>
          </w:tcPr>
          <w:p w14:paraId="54D9F522">
            <w:pPr>
              <w:jc w:val="center"/>
            </w:pPr>
            <w:r>
              <w:rPr>
                <w:rFonts w:hint="eastAsia"/>
                <w:lang w:val="en-US" w:eastAsia="zh-CN"/>
              </w:rPr>
              <w:t>线上作业</w:t>
            </w:r>
          </w:p>
        </w:tc>
        <w:tc>
          <w:tcPr>
            <w:tcW w:w="1687" w:type="dxa"/>
            <w:vAlign w:val="center"/>
          </w:tcPr>
          <w:p w14:paraId="32E22F0C"/>
        </w:tc>
      </w:tr>
      <w:tr w14:paraId="674F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454" w:type="dxa"/>
            <w:tcBorders>
              <w:right w:val="single" w:color="000000" w:sz="4" w:space="0"/>
            </w:tcBorders>
            <w:vAlign w:val="center"/>
          </w:tcPr>
          <w:p w14:paraId="11A1FA8A">
            <w:pPr>
              <w:jc w:val="center"/>
            </w:pPr>
            <w:r>
              <w:rPr>
                <w:rFonts w:hint="eastAsia"/>
              </w:rPr>
              <w:t>16</w:t>
            </w:r>
          </w:p>
        </w:tc>
        <w:tc>
          <w:tcPr>
            <w:tcW w:w="3547" w:type="dxa"/>
            <w:tcBorders>
              <w:left w:val="single" w:color="000000" w:sz="4" w:space="0"/>
            </w:tcBorders>
            <w:vAlign w:val="center"/>
          </w:tcPr>
          <w:p w14:paraId="5796665B">
            <w:pPr>
              <w:rPr>
                <w:rFonts w:hint="eastAsia" w:ascii="宋体" w:hAnsi="宋体" w:eastAsia="宋体"/>
                <w:szCs w:val="27"/>
                <w:lang w:val="en-US" w:eastAsia="zh-CN"/>
              </w:rPr>
            </w:pPr>
            <w:r>
              <w:rPr>
                <w:rFonts w:hint="eastAsia" w:ascii="宋体" w:hAnsi="宋体"/>
                <w:szCs w:val="27"/>
                <w:lang w:val="en-US" w:eastAsia="zh-CN"/>
              </w:rPr>
              <w:t>总复习</w:t>
            </w:r>
          </w:p>
        </w:tc>
        <w:tc>
          <w:tcPr>
            <w:tcW w:w="684" w:type="dxa"/>
            <w:vAlign w:val="center"/>
          </w:tcPr>
          <w:p w14:paraId="41D11543">
            <w:pPr>
              <w:jc w:val="center"/>
            </w:pPr>
          </w:p>
        </w:tc>
        <w:tc>
          <w:tcPr>
            <w:tcW w:w="684" w:type="dxa"/>
            <w:vAlign w:val="center"/>
          </w:tcPr>
          <w:p w14:paraId="4E8AA3DE">
            <w:pPr>
              <w:jc w:val="center"/>
              <w:rPr>
                <w:rFonts w:hint="eastAsia" w:eastAsia="宋体"/>
                <w:lang w:val="en-US" w:eastAsia="zh-CN"/>
              </w:rPr>
            </w:pPr>
            <w:r>
              <w:rPr>
                <w:rFonts w:hint="eastAsia"/>
                <w:lang w:val="en-US" w:eastAsia="zh-CN"/>
              </w:rPr>
              <w:t>1</w:t>
            </w:r>
          </w:p>
        </w:tc>
        <w:tc>
          <w:tcPr>
            <w:tcW w:w="684" w:type="dxa"/>
            <w:vAlign w:val="center"/>
          </w:tcPr>
          <w:p w14:paraId="78AF631C">
            <w:pPr>
              <w:jc w:val="center"/>
              <w:rPr>
                <w:rFonts w:hint="eastAsia" w:eastAsia="宋体"/>
                <w:lang w:val="en-US" w:eastAsia="zh-CN"/>
              </w:rPr>
            </w:pPr>
            <w:r>
              <w:rPr>
                <w:rFonts w:hint="eastAsia"/>
                <w:lang w:val="en-US" w:eastAsia="zh-CN"/>
              </w:rPr>
              <w:t>2</w:t>
            </w:r>
          </w:p>
        </w:tc>
        <w:tc>
          <w:tcPr>
            <w:tcW w:w="684" w:type="dxa"/>
            <w:vAlign w:val="center"/>
          </w:tcPr>
          <w:p w14:paraId="2137523B">
            <w:pPr>
              <w:jc w:val="center"/>
            </w:pPr>
          </w:p>
        </w:tc>
        <w:tc>
          <w:tcPr>
            <w:tcW w:w="684" w:type="dxa"/>
            <w:vAlign w:val="center"/>
          </w:tcPr>
          <w:p w14:paraId="285E2998">
            <w:pPr>
              <w:jc w:val="center"/>
            </w:pPr>
          </w:p>
        </w:tc>
        <w:tc>
          <w:tcPr>
            <w:tcW w:w="1687" w:type="dxa"/>
            <w:vAlign w:val="center"/>
          </w:tcPr>
          <w:p w14:paraId="3AC3CF96"/>
        </w:tc>
      </w:tr>
    </w:tbl>
    <w:p w14:paraId="5D576AE9">
      <w:pPr>
        <w:spacing w:line="720" w:lineRule="exact"/>
        <w:rPr>
          <w:rFonts w:ascii="宋体" w:hAnsi="宋体"/>
          <w:sz w:val="44"/>
        </w:rPr>
      </w:pPr>
    </w:p>
    <w:p w14:paraId="04CB1C9A">
      <w:pPr>
        <w:spacing w:line="720" w:lineRule="exact"/>
        <w:rPr>
          <w:rFonts w:ascii="宋体" w:hAnsi="宋体"/>
          <w:sz w:val="44"/>
        </w:rPr>
      </w:pPr>
      <w:r>
        <w:rPr>
          <w:rFonts w:hint="eastAsia" w:ascii="宋体" w:hAnsi="宋体"/>
          <w:sz w:val="44"/>
        </w:rPr>
        <w:t>教研室审查意见：</w:t>
      </w:r>
      <w:bookmarkStart w:id="0" w:name="_GoBack"/>
      <w:bookmarkEnd w:id="0"/>
    </w:p>
    <w:p w14:paraId="12DDE959">
      <w:pPr>
        <w:spacing w:line="720" w:lineRule="exact"/>
        <w:jc w:val="center"/>
        <w:rPr>
          <w:rFonts w:ascii="宋体" w:hAnsi="宋体"/>
          <w:sz w:val="52"/>
        </w:rPr>
      </w:pPr>
    </w:p>
    <w:p w14:paraId="3034E856">
      <w:pPr>
        <w:spacing w:line="720" w:lineRule="exact"/>
        <w:jc w:val="center"/>
        <w:rPr>
          <w:rFonts w:ascii="宋体" w:hAnsi="宋体"/>
          <w:sz w:val="32"/>
          <w:szCs w:val="32"/>
          <w:u w:val="single"/>
        </w:rPr>
      </w:pPr>
      <w:r>
        <w:rPr>
          <w:rFonts w:hint="eastAsia" w:ascii="宋体" w:hAnsi="宋体"/>
          <w:sz w:val="28"/>
        </w:rPr>
        <w:t xml:space="preserve">                   </w:t>
      </w:r>
      <w:r>
        <w:rPr>
          <w:rFonts w:hint="eastAsia" w:ascii="宋体" w:hAnsi="宋体"/>
          <w:sz w:val="32"/>
          <w:szCs w:val="32"/>
        </w:rPr>
        <w:t>教研室主任签名：</w:t>
      </w:r>
    </w:p>
    <w:p w14:paraId="7C976F9D">
      <w:pPr>
        <w:wordWrap w:val="0"/>
        <w:spacing w:line="720" w:lineRule="exact"/>
        <w:ind w:right="26"/>
        <w:jc w:val="center"/>
        <w:rPr>
          <w:rFonts w:ascii="宋体" w:hAnsi="宋体"/>
          <w:sz w:val="32"/>
          <w:szCs w:val="32"/>
        </w:rPr>
      </w:pPr>
      <w:r>
        <w:rPr>
          <w:rFonts w:hint="eastAsia" w:ascii="宋体" w:hAnsi="宋体"/>
          <w:sz w:val="32"/>
          <w:szCs w:val="32"/>
        </w:rPr>
        <w:t xml:space="preserve">                             20    年    月   日</w:t>
      </w:r>
    </w:p>
    <w:p w14:paraId="539B3AAE">
      <w:pPr>
        <w:spacing w:line="720" w:lineRule="exact"/>
        <w:jc w:val="center"/>
        <w:rPr>
          <w:rFonts w:ascii="宋体" w:hAnsi="宋体"/>
          <w:sz w:val="52"/>
        </w:rPr>
      </w:pPr>
      <w:r>
        <w:rPr>
          <w:rFonts w:hint="eastAsia" w:ascii="宋体" w:hAnsi="宋体"/>
          <w:sz w:val="44"/>
        </w:rPr>
        <w:t>执行情况检查记载</w:t>
      </w:r>
    </w:p>
    <w:p w14:paraId="5996387F">
      <w:pPr>
        <w:spacing w:line="720" w:lineRule="exact"/>
        <w:rPr>
          <w:rFonts w:ascii="宋体" w:hAnsi="宋体"/>
          <w:sz w:val="32"/>
        </w:rPr>
      </w:pPr>
      <w:r>
        <w:rPr>
          <w:rFonts w:hint="eastAsia" w:ascii="宋体" w:hAnsi="宋体"/>
          <w:sz w:val="32"/>
        </w:rPr>
        <w:t>第一次:</w:t>
      </w:r>
    </w:p>
    <w:p w14:paraId="28B438A6">
      <w:pPr>
        <w:spacing w:line="720" w:lineRule="exact"/>
        <w:rPr>
          <w:rFonts w:ascii="宋体" w:hAnsi="宋体"/>
          <w:sz w:val="32"/>
        </w:rPr>
      </w:pPr>
    </w:p>
    <w:p w14:paraId="7D1B80B3">
      <w:pPr>
        <w:spacing w:line="720" w:lineRule="exact"/>
        <w:rPr>
          <w:rFonts w:ascii="宋体" w:hAnsi="宋体"/>
          <w:sz w:val="32"/>
        </w:rPr>
      </w:pPr>
    </w:p>
    <w:p w14:paraId="5C05F511">
      <w:pPr>
        <w:spacing w:line="720" w:lineRule="exact"/>
        <w:rPr>
          <w:rFonts w:ascii="宋体" w:hAnsi="宋体"/>
          <w:sz w:val="32"/>
          <w:u w:val="single"/>
        </w:rPr>
      </w:pPr>
      <w:r>
        <w:rPr>
          <w:rFonts w:hint="eastAsia" w:ascii="宋体" w:hAnsi="宋体"/>
          <w:sz w:val="32"/>
        </w:rPr>
        <w:t xml:space="preserve">                           教研室主任签名: </w:t>
      </w:r>
    </w:p>
    <w:p w14:paraId="297346B6">
      <w:pPr>
        <w:spacing w:line="720" w:lineRule="exact"/>
        <w:ind w:firstLine="4800" w:firstLineChars="1500"/>
        <w:rPr>
          <w:rFonts w:ascii="宋体" w:hAnsi="宋体"/>
          <w:sz w:val="32"/>
        </w:rPr>
      </w:pPr>
      <w:r>
        <w:rPr>
          <w:rFonts w:hint="eastAsia" w:ascii="宋体" w:hAnsi="宋体"/>
          <w:sz w:val="32"/>
        </w:rPr>
        <w:t>20   年     月     日</w:t>
      </w:r>
    </w:p>
    <w:p w14:paraId="293395C6">
      <w:pPr>
        <w:spacing w:line="720" w:lineRule="exact"/>
        <w:rPr>
          <w:rFonts w:ascii="宋体" w:hAnsi="宋体"/>
        </w:rPr>
      </w:pPr>
      <w:r>
        <w:rPr>
          <w:rFonts w:hint="eastAsia" w:ascii="宋体" w:hAnsi="宋体"/>
          <w:sz w:val="32"/>
        </w:rPr>
        <w:t xml:space="preserve"> </w:t>
      </w:r>
      <w:r>
        <w:rPr>
          <w:rFonts w:hint="eastAsia" w:ascii="宋体" w:hAnsi="宋体"/>
          <w:sz w:val="32"/>
          <w:u w:val="single"/>
        </w:rPr>
        <w:t xml:space="preserve">                                                            </w:t>
      </w:r>
      <w:r>
        <w:rPr>
          <w:rFonts w:hint="eastAsia" w:ascii="宋体" w:hAnsi="宋体"/>
        </w:rPr>
        <w:t xml:space="preserve"> </w:t>
      </w:r>
    </w:p>
    <w:p w14:paraId="446D45AB">
      <w:pPr>
        <w:spacing w:line="720" w:lineRule="exact"/>
        <w:ind w:firstLine="420"/>
        <w:rPr>
          <w:rFonts w:ascii="宋体" w:hAnsi="宋体"/>
          <w:sz w:val="32"/>
        </w:rPr>
      </w:pPr>
      <w:r>
        <w:rPr>
          <w:rFonts w:hint="eastAsia" w:ascii="宋体" w:hAnsi="宋体"/>
          <w:sz w:val="32"/>
        </w:rPr>
        <w:t xml:space="preserve">第二次 </w:t>
      </w:r>
    </w:p>
    <w:p w14:paraId="29983E31">
      <w:pPr>
        <w:spacing w:line="720" w:lineRule="exact"/>
        <w:ind w:firstLine="420"/>
        <w:rPr>
          <w:rFonts w:ascii="宋体" w:hAnsi="宋体"/>
          <w:sz w:val="32"/>
        </w:rPr>
      </w:pPr>
    </w:p>
    <w:p w14:paraId="3DE68D6F">
      <w:pPr>
        <w:spacing w:line="720" w:lineRule="exact"/>
        <w:ind w:firstLine="420"/>
        <w:rPr>
          <w:rFonts w:ascii="宋体" w:hAnsi="宋体"/>
          <w:sz w:val="32"/>
        </w:rPr>
      </w:pPr>
    </w:p>
    <w:p w14:paraId="785E7753">
      <w:pPr>
        <w:spacing w:line="720" w:lineRule="exact"/>
        <w:ind w:firstLine="420"/>
        <w:rPr>
          <w:rFonts w:ascii="宋体" w:hAnsi="宋体"/>
          <w:sz w:val="32"/>
        </w:rPr>
      </w:pPr>
    </w:p>
    <w:p w14:paraId="0C150F3E">
      <w:pPr>
        <w:spacing w:line="720" w:lineRule="exact"/>
        <w:ind w:firstLine="4160" w:firstLineChars="1300"/>
        <w:rPr>
          <w:rFonts w:ascii="宋体" w:hAnsi="宋体"/>
          <w:sz w:val="32"/>
          <w:u w:val="single"/>
        </w:rPr>
      </w:pPr>
      <w:r>
        <w:rPr>
          <w:rFonts w:hint="eastAsia" w:ascii="宋体" w:hAnsi="宋体"/>
          <w:sz w:val="32"/>
        </w:rPr>
        <w:t xml:space="preserve">教研室主任签名: </w:t>
      </w:r>
    </w:p>
    <w:p w14:paraId="50B6FE21">
      <w:pPr>
        <w:spacing w:line="720" w:lineRule="exact"/>
        <w:jc w:val="right"/>
        <w:rPr>
          <w:rFonts w:ascii="宋体" w:hAnsi="宋体"/>
          <w:sz w:val="32"/>
        </w:rPr>
      </w:pPr>
      <w:r>
        <w:rPr>
          <w:rFonts w:hint="eastAsia" w:ascii="宋体" w:hAnsi="宋体"/>
          <w:sz w:val="32"/>
        </w:rPr>
        <w:t>20   年     月     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68CC0">
    <w:pPr>
      <w:pStyle w:val="3"/>
      <w:framePr w:wrap="around" w:vAnchor="text" w:hAnchor="margin" w:xAlign="right" w:y="1"/>
      <w:rPr>
        <w:rStyle w:val="8"/>
      </w:rPr>
    </w:pPr>
    <w:r>
      <w:fldChar w:fldCharType="begin"/>
    </w:r>
    <w:r>
      <w:rPr>
        <w:rStyle w:val="8"/>
      </w:rPr>
      <w:instrText xml:space="preserve">PAGE  </w:instrText>
    </w:r>
    <w:r>
      <w:fldChar w:fldCharType="separate"/>
    </w:r>
    <w:r>
      <w:rPr>
        <w:rStyle w:val="8"/>
      </w:rPr>
      <w:t>1</w:t>
    </w:r>
    <w:r>
      <w:fldChar w:fldCharType="end"/>
    </w:r>
  </w:p>
  <w:p w14:paraId="1536540F">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BE0F4">
    <w:pPr>
      <w:pStyle w:val="3"/>
      <w:framePr w:wrap="around" w:vAnchor="text" w:hAnchor="margin" w:xAlign="right" w:y="1"/>
      <w:rPr>
        <w:rStyle w:val="8"/>
      </w:rPr>
    </w:pPr>
    <w:r>
      <w:fldChar w:fldCharType="begin"/>
    </w:r>
    <w:r>
      <w:rPr>
        <w:rStyle w:val="8"/>
      </w:rPr>
      <w:instrText xml:space="preserve">PAGE  </w:instrText>
    </w:r>
    <w:r>
      <w:fldChar w:fldCharType="end"/>
    </w:r>
  </w:p>
  <w:p w14:paraId="38B6F559">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space"/>
      <w:lvlText w:val="第%1章"/>
      <w:lvlJc w:val="left"/>
    </w:lvl>
  </w:abstractNum>
  <w:abstractNum w:abstractNumId="1">
    <w:nsid w:val="57CCF93B"/>
    <w:multiLevelType w:val="singleLevel"/>
    <w:tmpl w:val="57CCF93B"/>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3YTdkYjNhYWQwZjVkYjI4MjM2ODY5ZjhiNTU1MmMifQ=="/>
  </w:docVars>
  <w:rsids>
    <w:rsidRoot w:val="00172A27"/>
    <w:rsid w:val="000061E4"/>
    <w:rsid w:val="0003618E"/>
    <w:rsid w:val="00084EF1"/>
    <w:rsid w:val="001012D2"/>
    <w:rsid w:val="0012771A"/>
    <w:rsid w:val="001502CA"/>
    <w:rsid w:val="00153BA6"/>
    <w:rsid w:val="00172A27"/>
    <w:rsid w:val="001C2A59"/>
    <w:rsid w:val="001D72E1"/>
    <w:rsid w:val="001E001E"/>
    <w:rsid w:val="001E5177"/>
    <w:rsid w:val="0020228A"/>
    <w:rsid w:val="0021736F"/>
    <w:rsid w:val="002568D8"/>
    <w:rsid w:val="0026091F"/>
    <w:rsid w:val="002A4184"/>
    <w:rsid w:val="002B0915"/>
    <w:rsid w:val="002E0379"/>
    <w:rsid w:val="00306449"/>
    <w:rsid w:val="00313B89"/>
    <w:rsid w:val="003340A4"/>
    <w:rsid w:val="00370EB4"/>
    <w:rsid w:val="003A37EB"/>
    <w:rsid w:val="003B05B8"/>
    <w:rsid w:val="003C59B1"/>
    <w:rsid w:val="003D28D8"/>
    <w:rsid w:val="004147C8"/>
    <w:rsid w:val="004150A6"/>
    <w:rsid w:val="004327B4"/>
    <w:rsid w:val="00434377"/>
    <w:rsid w:val="00476530"/>
    <w:rsid w:val="004B3582"/>
    <w:rsid w:val="00542F97"/>
    <w:rsid w:val="0054541C"/>
    <w:rsid w:val="00561BE9"/>
    <w:rsid w:val="00564E8D"/>
    <w:rsid w:val="0056536C"/>
    <w:rsid w:val="005B3416"/>
    <w:rsid w:val="005C216F"/>
    <w:rsid w:val="005D366B"/>
    <w:rsid w:val="005F1CE4"/>
    <w:rsid w:val="00606C30"/>
    <w:rsid w:val="00630BFC"/>
    <w:rsid w:val="006370C5"/>
    <w:rsid w:val="00641A15"/>
    <w:rsid w:val="00654DD5"/>
    <w:rsid w:val="0067091F"/>
    <w:rsid w:val="00675FAE"/>
    <w:rsid w:val="006810DC"/>
    <w:rsid w:val="00694E4B"/>
    <w:rsid w:val="006C0670"/>
    <w:rsid w:val="006E52B9"/>
    <w:rsid w:val="00732768"/>
    <w:rsid w:val="007C36CF"/>
    <w:rsid w:val="007F0C44"/>
    <w:rsid w:val="00807D1C"/>
    <w:rsid w:val="00822DB6"/>
    <w:rsid w:val="00831D53"/>
    <w:rsid w:val="00843CE0"/>
    <w:rsid w:val="0086092B"/>
    <w:rsid w:val="008A3DA6"/>
    <w:rsid w:val="008B3533"/>
    <w:rsid w:val="008D0A87"/>
    <w:rsid w:val="008E31F8"/>
    <w:rsid w:val="0096561E"/>
    <w:rsid w:val="009A4CC4"/>
    <w:rsid w:val="009A5EBF"/>
    <w:rsid w:val="009C6A4E"/>
    <w:rsid w:val="009D6DEA"/>
    <w:rsid w:val="00A02BA6"/>
    <w:rsid w:val="00A06DDA"/>
    <w:rsid w:val="00A16A17"/>
    <w:rsid w:val="00A702F1"/>
    <w:rsid w:val="00A87F13"/>
    <w:rsid w:val="00AA0E67"/>
    <w:rsid w:val="00AA4101"/>
    <w:rsid w:val="00AB110A"/>
    <w:rsid w:val="00B37327"/>
    <w:rsid w:val="00B4474A"/>
    <w:rsid w:val="00BB7216"/>
    <w:rsid w:val="00BD1A4E"/>
    <w:rsid w:val="00BD67E3"/>
    <w:rsid w:val="00BE3D26"/>
    <w:rsid w:val="00BE7E48"/>
    <w:rsid w:val="00C45D36"/>
    <w:rsid w:val="00C54080"/>
    <w:rsid w:val="00C80ADA"/>
    <w:rsid w:val="00CD0298"/>
    <w:rsid w:val="00CE7348"/>
    <w:rsid w:val="00D700CC"/>
    <w:rsid w:val="00D85D18"/>
    <w:rsid w:val="00DD0ADD"/>
    <w:rsid w:val="00DF4819"/>
    <w:rsid w:val="00DF4D0E"/>
    <w:rsid w:val="00E15BA9"/>
    <w:rsid w:val="00E70F8D"/>
    <w:rsid w:val="00E970C5"/>
    <w:rsid w:val="00ED2F30"/>
    <w:rsid w:val="00EF4BB2"/>
    <w:rsid w:val="00F034AF"/>
    <w:rsid w:val="00F276ED"/>
    <w:rsid w:val="00F324FE"/>
    <w:rsid w:val="00F44B0E"/>
    <w:rsid w:val="00F51D2A"/>
    <w:rsid w:val="00F82971"/>
    <w:rsid w:val="00F934D1"/>
    <w:rsid w:val="00FA0866"/>
    <w:rsid w:val="00FA7039"/>
    <w:rsid w:val="00FB601B"/>
    <w:rsid w:val="00FB615D"/>
    <w:rsid w:val="00FD695D"/>
    <w:rsid w:val="00FE30A6"/>
    <w:rsid w:val="00FE5D27"/>
    <w:rsid w:val="032D31E4"/>
    <w:rsid w:val="0B960868"/>
    <w:rsid w:val="16973433"/>
    <w:rsid w:val="18755B24"/>
    <w:rsid w:val="18A86398"/>
    <w:rsid w:val="225178ED"/>
    <w:rsid w:val="2518670B"/>
    <w:rsid w:val="27B222AE"/>
    <w:rsid w:val="2DB425B7"/>
    <w:rsid w:val="351B5762"/>
    <w:rsid w:val="3A4A3DDA"/>
    <w:rsid w:val="529F07AB"/>
    <w:rsid w:val="63A00628"/>
    <w:rsid w:val="68845507"/>
    <w:rsid w:val="75E15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character" w:styleId="7">
    <w:name w:val="Strong"/>
    <w:qFormat/>
    <w:uiPriority w:val="0"/>
    <w:rPr>
      <w:b/>
      <w:bCs/>
    </w:rPr>
  </w:style>
  <w:style w:type="character" w:styleId="8">
    <w:name w:val="page number"/>
    <w:basedOn w:val="6"/>
    <w:qFormat/>
    <w:uiPriority w:val="0"/>
  </w:style>
  <w:style w:type="character" w:styleId="9">
    <w:name w:val="Hyperlink"/>
    <w:qFormat/>
    <w:uiPriority w:val="0"/>
    <w:rPr>
      <w:color w:val="0000FF"/>
      <w:u w:val="single"/>
    </w:rPr>
  </w:style>
  <w:style w:type="character" w:customStyle="1" w:styleId="10">
    <w:name w:val="content1"/>
    <w:qFormat/>
    <w:uiPriority w:val="0"/>
    <w:rPr>
      <w:sz w:val="24"/>
      <w:szCs w:val="24"/>
    </w:rPr>
  </w:style>
  <w:style w:type="character" w:customStyle="1" w:styleId="11">
    <w:name w:val="jie1"/>
    <w:qFormat/>
    <w:uiPriority w:val="0"/>
    <w:rPr>
      <w:b/>
      <w:bCs/>
      <w:sz w:val="27"/>
      <w:szCs w:val="27"/>
    </w:rPr>
  </w:style>
  <w:style w:type="paragraph" w:customStyle="1" w:styleId="12">
    <w:name w:val="jie"/>
    <w:basedOn w:val="1"/>
    <w:qFormat/>
    <w:uiPriority w:val="0"/>
    <w:pPr>
      <w:widowControl/>
      <w:spacing w:before="100" w:beforeAutospacing="1" w:after="100" w:afterAutospacing="1" w:line="750" w:lineRule="atLeast"/>
      <w:jc w:val="left"/>
    </w:pPr>
    <w:rPr>
      <w:rFonts w:ascii="宋体" w:hAnsi="宋体"/>
      <w:b/>
      <w:bCs/>
      <w:kern w:val="0"/>
      <w:sz w:val="27"/>
      <w:szCs w:val="27"/>
    </w:rPr>
  </w:style>
  <w:style w:type="paragraph" w:customStyle="1" w:styleId="13">
    <w:name w:val="content"/>
    <w:basedOn w:val="1"/>
    <w:qFormat/>
    <w:uiPriority w:val="0"/>
    <w:pPr>
      <w:widowControl/>
      <w:spacing w:before="100" w:beforeAutospacing="1" w:after="100" w:afterAutospacing="1" w:line="345" w:lineRule="atLeast"/>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7</Pages>
  <Words>2911</Words>
  <Characters>2996</Characters>
  <Lines>28</Lines>
  <Paragraphs>7</Paragraphs>
  <TotalTime>4</TotalTime>
  <ScaleCrop>false</ScaleCrop>
  <LinksUpToDate>false</LinksUpToDate>
  <CharactersWithSpaces>3248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2019-08-31T08:56:00Z</dcterms:created>
  <dc:creator>番茄花园</dc:creator>
  <cp:lastModifiedBy>利元</cp:lastModifiedBy>
  <cp:lastPrinted>2411-12-30T00:00:00Z</cp:lastPrinted>
  <dcterms:modified xsi:type="dcterms:W3CDTF">2026-03-09T01:59:49Z</dcterms:modified>
  <dc:title>乐山师范学院</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8BE39467FD8B4E25B785127012CF25CB_13</vt:lpwstr>
  </property>
  <property fmtid="{D5CDD505-2E9C-101B-9397-08002B2CF9AE}" pid="4" name="KSOTemplateDocerSaveRecord">
    <vt:lpwstr>eyJoZGlkIjoiMjZiMjQ0NWE5MjBiNjkxOTZjZmRhYjJlMjkxNGNkYmEiLCJ1c2VySWQiOiI1MTA3MjcwMzUifQ==</vt:lpwstr>
  </property>
</Properties>
</file>