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A4470">
      <w:pPr>
        <w:jc w:val="center"/>
        <w:rPr>
          <w:rFonts w:ascii="宋体" w:hAnsi="宋体"/>
          <w:b/>
          <w:bCs/>
          <w:iCs/>
          <w:sz w:val="84"/>
          <w:szCs w:val="84"/>
        </w:rPr>
      </w:pPr>
      <w:r>
        <w:rPr>
          <w:rFonts w:hint="eastAsia" w:ascii="宋体" w:hAnsi="宋体"/>
          <w:b/>
          <w:bCs/>
          <w:iCs/>
          <w:sz w:val="84"/>
          <w:szCs w:val="84"/>
        </w:rPr>
        <w:t>乐山师范学院</w:t>
      </w:r>
    </w:p>
    <w:p w14:paraId="33C4F6B5">
      <w:pPr>
        <w:jc w:val="center"/>
        <w:rPr>
          <w:rFonts w:ascii="楷体" w:hAnsi="楷体" w:eastAsia="楷体"/>
          <w:sz w:val="72"/>
          <w:szCs w:val="72"/>
        </w:rPr>
      </w:pPr>
      <w:r>
        <w:rPr>
          <w:rFonts w:hint="eastAsia" w:ascii="楷体" w:hAnsi="楷体" w:eastAsia="楷体"/>
          <w:sz w:val="72"/>
          <w:szCs w:val="72"/>
        </w:rPr>
        <w:t>教师教学工作计划</w:t>
      </w:r>
    </w:p>
    <w:p w14:paraId="68EF544B">
      <w:r>
        <w:rPr>
          <w:rFonts w:hint="eastAsia"/>
        </w:rPr>
        <w:t xml:space="preserve">                                  </w:t>
      </w:r>
      <w:r>
        <w:t xml:space="preserve">   </w:t>
      </w:r>
      <w:r>
        <w:rPr>
          <w:rFonts w:hint="eastAsia"/>
        </w:rPr>
        <w:t xml:space="preserve">  </w:t>
      </w:r>
    </w:p>
    <w:p w14:paraId="60D92EA9"/>
    <w:p w14:paraId="18913C21"/>
    <w:p w14:paraId="23E4083C">
      <w:r>
        <w:rPr>
          <w:rFonts w:hint="eastAsia"/>
        </w:rPr>
        <w:t xml:space="preserve">                  </w:t>
      </w:r>
    </w:p>
    <w:p w14:paraId="5A803CD2">
      <w:pPr>
        <w:rPr>
          <w:rFonts w:ascii="宋体" w:hAnsi="宋体"/>
          <w:sz w:val="44"/>
          <w:szCs w:val="44"/>
          <w:u w:val="single"/>
        </w:rPr>
      </w:pPr>
      <w:r>
        <w:rPr>
          <w:rFonts w:hint="eastAsia" w:ascii="宋体" w:hAnsi="宋体"/>
          <w:sz w:val="44"/>
          <w:szCs w:val="44"/>
        </w:rPr>
        <w:t>课程名称</w:t>
      </w:r>
      <w:r>
        <w:rPr>
          <w:rFonts w:hint="eastAsia" w:ascii="宋体" w:hAnsi="宋体"/>
          <w:sz w:val="44"/>
          <w:szCs w:val="44"/>
          <w:u w:val="single"/>
        </w:rPr>
        <w:t xml:space="preserve">      </w:t>
      </w:r>
      <w:r>
        <w:rPr>
          <w:rFonts w:hint="eastAsia" w:ascii="宋体" w:hAnsi="宋体"/>
          <w:sz w:val="44"/>
          <w:szCs w:val="44"/>
          <w:u w:val="single"/>
          <w:lang w:eastAsia="zh-CN"/>
        </w:rPr>
        <w:t>计量经济学</w:t>
      </w:r>
      <w:r>
        <w:rPr>
          <w:rFonts w:hint="eastAsia" w:ascii="宋体" w:hAnsi="宋体"/>
          <w:sz w:val="44"/>
          <w:szCs w:val="44"/>
          <w:u w:val="single"/>
        </w:rPr>
        <w:t xml:space="preserve"> </w:t>
      </w:r>
      <w:r>
        <w:rPr>
          <w:rFonts w:hint="eastAsia" w:ascii="宋体" w:hAnsi="宋体"/>
          <w:sz w:val="44"/>
          <w:szCs w:val="44"/>
          <w:u w:val="single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宋体" w:hAnsi="宋体"/>
          <w:sz w:val="44"/>
          <w:szCs w:val="44"/>
          <w:u w:val="single"/>
        </w:rPr>
        <w:t xml:space="preserve">     </w:t>
      </w:r>
    </w:p>
    <w:p w14:paraId="3FD833FA">
      <w:pPr>
        <w:rPr>
          <w:rFonts w:ascii="宋体" w:hAnsi="宋体"/>
          <w:sz w:val="44"/>
          <w:szCs w:val="44"/>
          <w:u w:val="single"/>
        </w:rPr>
      </w:pPr>
    </w:p>
    <w:p w14:paraId="0BB5A2D3">
      <w:pPr>
        <w:rPr>
          <w:rFonts w:ascii="宋体" w:hAnsi="宋体"/>
          <w:sz w:val="36"/>
          <w:szCs w:val="36"/>
          <w:u w:val="single"/>
        </w:rPr>
      </w:pPr>
      <w:r>
        <w:rPr>
          <w:rFonts w:hint="eastAsia" w:ascii="宋体" w:hAnsi="宋体"/>
          <w:sz w:val="44"/>
          <w:szCs w:val="44"/>
        </w:rPr>
        <w:t>任课教师</w:t>
      </w:r>
      <w:r>
        <w:rPr>
          <w:rFonts w:hint="eastAsia" w:ascii="宋体" w:hAnsi="宋体"/>
          <w:sz w:val="44"/>
          <w:szCs w:val="44"/>
          <w:u w:val="single"/>
        </w:rPr>
        <w:t xml:space="preserve">         </w:t>
      </w:r>
      <w:r>
        <w:rPr>
          <w:rFonts w:hint="eastAsia" w:ascii="宋体" w:hAnsi="宋体"/>
          <w:sz w:val="44"/>
          <w:szCs w:val="44"/>
          <w:u w:val="single"/>
          <w:lang w:val="en-US" w:eastAsia="zh-CN"/>
        </w:rPr>
        <w:t>张倩</w:t>
      </w:r>
      <w:r>
        <w:rPr>
          <w:rFonts w:hint="eastAsia" w:ascii="宋体" w:hAnsi="宋体"/>
          <w:sz w:val="44"/>
          <w:szCs w:val="44"/>
          <w:u w:val="single"/>
        </w:rPr>
        <w:t xml:space="preserve">        </w:t>
      </w:r>
      <w:r>
        <w:rPr>
          <w:rFonts w:hint="eastAsia" w:ascii="宋体" w:hAnsi="宋体"/>
          <w:sz w:val="44"/>
          <w:szCs w:val="44"/>
          <w:u w:val="single"/>
          <w:lang w:val="en-US" w:eastAsia="zh-CN"/>
        </w:rPr>
        <w:t xml:space="preserve">   </w:t>
      </w:r>
      <w:r>
        <w:rPr>
          <w:rFonts w:hint="eastAsia" w:ascii="宋体" w:hAnsi="宋体"/>
          <w:sz w:val="44"/>
          <w:szCs w:val="44"/>
          <w:u w:val="single"/>
        </w:rPr>
        <w:t xml:space="preserve"> </w:t>
      </w:r>
    </w:p>
    <w:p w14:paraId="2B259096">
      <w:pPr>
        <w:rPr>
          <w:rFonts w:ascii="宋体" w:hAnsi="宋体"/>
          <w:sz w:val="44"/>
          <w:szCs w:val="44"/>
          <w:u w:val="single"/>
        </w:rPr>
      </w:pPr>
    </w:p>
    <w:p w14:paraId="0559340C">
      <w:pPr>
        <w:jc w:val="both"/>
        <w:rPr>
          <w:rFonts w:hint="default" w:ascii="宋体" w:hAnsi="宋体"/>
          <w:sz w:val="44"/>
          <w:szCs w:val="44"/>
          <w:u w:val="single"/>
          <w:lang w:val="en-US"/>
        </w:rPr>
      </w:pPr>
      <w:r>
        <w:rPr>
          <w:rFonts w:hint="eastAsia" w:ascii="宋体" w:hAnsi="宋体"/>
          <w:sz w:val="44"/>
          <w:szCs w:val="44"/>
        </w:rPr>
        <w:t>授课班级</w:t>
      </w:r>
      <w:r>
        <w:rPr>
          <w:rFonts w:hint="eastAsia" w:ascii="宋体" w:hAnsi="宋体"/>
          <w:sz w:val="44"/>
          <w:szCs w:val="44"/>
          <w:u w:val="single"/>
        </w:rPr>
        <w:t xml:space="preserve">  </w:t>
      </w:r>
      <w:r>
        <w:rPr>
          <w:rFonts w:ascii="宋体" w:hAnsi="宋体"/>
          <w:sz w:val="44"/>
          <w:szCs w:val="44"/>
          <w:u w:val="single"/>
        </w:rPr>
        <w:t>2</w:t>
      </w:r>
      <w:r>
        <w:rPr>
          <w:rFonts w:hint="eastAsia" w:ascii="宋体" w:hAnsi="宋体"/>
          <w:sz w:val="44"/>
          <w:szCs w:val="44"/>
          <w:u w:val="single"/>
          <w:lang w:val="en-US" w:eastAsia="zh-CN"/>
        </w:rPr>
        <w:t>024</w:t>
      </w:r>
      <w:r>
        <w:rPr>
          <w:rFonts w:hint="eastAsia" w:ascii="宋体" w:hAnsi="宋体"/>
          <w:sz w:val="44"/>
          <w:szCs w:val="44"/>
          <w:u w:val="single"/>
        </w:rPr>
        <w:t>级</w:t>
      </w:r>
      <w:r>
        <w:rPr>
          <w:rFonts w:hint="eastAsia" w:ascii="宋体" w:hAnsi="宋体"/>
          <w:sz w:val="44"/>
          <w:szCs w:val="44"/>
          <w:u w:val="single"/>
          <w:lang w:val="en-US" w:eastAsia="zh-CN"/>
        </w:rPr>
        <w:t xml:space="preserve">国际经济与贸易   </w:t>
      </w:r>
    </w:p>
    <w:p w14:paraId="6695CA59">
      <w:pPr>
        <w:rPr>
          <w:rFonts w:hint="eastAsia" w:ascii="宋体" w:hAnsi="宋体"/>
          <w:sz w:val="44"/>
          <w:szCs w:val="44"/>
        </w:rPr>
      </w:pPr>
    </w:p>
    <w:p w14:paraId="502ADD3F">
      <w:pPr>
        <w:rPr>
          <w:rFonts w:ascii="宋体" w:hAnsi="宋体"/>
          <w:sz w:val="44"/>
          <w:szCs w:val="44"/>
          <w:u w:val="single"/>
        </w:rPr>
      </w:pPr>
      <w:r>
        <w:rPr>
          <w:rFonts w:hint="eastAsia" w:ascii="宋体" w:hAnsi="宋体"/>
          <w:sz w:val="44"/>
          <w:szCs w:val="44"/>
        </w:rPr>
        <w:t>上交教研组日期</w:t>
      </w:r>
      <w:r>
        <w:rPr>
          <w:rFonts w:hint="eastAsia" w:ascii="宋体" w:hAnsi="宋体"/>
          <w:sz w:val="44"/>
          <w:szCs w:val="44"/>
          <w:u w:val="single"/>
        </w:rPr>
        <w:t xml:space="preserve">      </w:t>
      </w:r>
      <w:r>
        <w:rPr>
          <w:rFonts w:ascii="宋体" w:hAnsi="宋体"/>
          <w:sz w:val="44"/>
          <w:szCs w:val="44"/>
          <w:u w:val="single"/>
        </w:rPr>
        <w:t>20</w:t>
      </w:r>
      <w:r>
        <w:rPr>
          <w:rFonts w:hint="eastAsia" w:ascii="宋体" w:hAnsi="宋体"/>
          <w:sz w:val="44"/>
          <w:szCs w:val="44"/>
          <w:u w:val="single"/>
        </w:rPr>
        <w:t>2</w:t>
      </w:r>
      <w:r>
        <w:rPr>
          <w:rFonts w:hint="eastAsia" w:ascii="宋体" w:hAnsi="宋体"/>
          <w:sz w:val="44"/>
          <w:szCs w:val="44"/>
          <w:u w:val="single"/>
          <w:lang w:val="en-US" w:eastAsia="zh-CN"/>
        </w:rPr>
        <w:t>6</w:t>
      </w:r>
      <w:r>
        <w:rPr>
          <w:rFonts w:ascii="宋体" w:hAnsi="宋体"/>
          <w:sz w:val="44"/>
          <w:szCs w:val="44"/>
          <w:u w:val="single"/>
        </w:rPr>
        <w:t>-</w:t>
      </w:r>
      <w:r>
        <w:rPr>
          <w:rFonts w:hint="eastAsia" w:ascii="宋体" w:hAnsi="宋体"/>
          <w:sz w:val="44"/>
          <w:szCs w:val="44"/>
          <w:u w:val="single"/>
          <w:lang w:val="en-US" w:eastAsia="zh-CN"/>
        </w:rPr>
        <w:t>3</w:t>
      </w:r>
      <w:r>
        <w:rPr>
          <w:rFonts w:ascii="宋体" w:hAnsi="宋体"/>
          <w:sz w:val="44"/>
          <w:szCs w:val="44"/>
          <w:u w:val="single"/>
        </w:rPr>
        <w:t>-</w:t>
      </w:r>
      <w:r>
        <w:rPr>
          <w:rFonts w:hint="eastAsia" w:ascii="宋体" w:hAnsi="宋体"/>
          <w:sz w:val="44"/>
          <w:szCs w:val="44"/>
          <w:u w:val="single"/>
          <w:lang w:val="en-US" w:eastAsia="zh-CN"/>
        </w:rPr>
        <w:t>13</w:t>
      </w:r>
      <w:r>
        <w:rPr>
          <w:rFonts w:hint="eastAsia" w:ascii="宋体" w:hAnsi="宋体"/>
          <w:sz w:val="44"/>
          <w:szCs w:val="44"/>
          <w:u w:val="single"/>
        </w:rPr>
        <w:t xml:space="preserve">    </w:t>
      </w:r>
    </w:p>
    <w:p w14:paraId="393938D1">
      <w:pPr>
        <w:ind w:firstLine="2640" w:firstLineChars="600"/>
        <w:rPr>
          <w:rFonts w:ascii="宋体" w:hAnsi="宋体"/>
          <w:sz w:val="44"/>
          <w:szCs w:val="44"/>
          <w:u w:val="single"/>
        </w:rPr>
      </w:pPr>
    </w:p>
    <w:p w14:paraId="1E58A9E2">
      <w:pPr>
        <w:ind w:firstLine="2160" w:firstLineChars="600"/>
        <w:rPr>
          <w:rFonts w:ascii="宋体" w:hAnsi="宋体"/>
          <w:sz w:val="36"/>
          <w:u w:val="single"/>
        </w:rPr>
      </w:pPr>
    </w:p>
    <w:p w14:paraId="64AE9DB5">
      <w:pPr>
        <w:rPr>
          <w:rFonts w:ascii="宋体" w:hAnsi="宋体"/>
          <w:sz w:val="36"/>
          <w:u w:val="single"/>
        </w:rPr>
      </w:pPr>
    </w:p>
    <w:p w14:paraId="619B1ED4">
      <w:pPr>
        <w:rPr>
          <w:rFonts w:ascii="宋体" w:hAnsi="宋体"/>
          <w:sz w:val="36"/>
          <w:u w:val="single"/>
        </w:rPr>
      </w:pPr>
    </w:p>
    <w:p w14:paraId="15355EE4">
      <w:pPr>
        <w:rPr>
          <w:rFonts w:ascii="宋体" w:hAnsi="宋体"/>
          <w:sz w:val="36"/>
          <w:u w:val="single"/>
        </w:rPr>
      </w:pPr>
    </w:p>
    <w:p w14:paraId="7FD0016F">
      <w:pPr>
        <w:rPr>
          <w:rFonts w:ascii="宋体" w:hAnsi="宋体"/>
          <w:sz w:val="36"/>
          <w:u w:val="single"/>
        </w:rPr>
      </w:pPr>
    </w:p>
    <w:p w14:paraId="47B4479A">
      <w:pPr>
        <w:jc w:val="center"/>
        <w:outlineLvl w:val="0"/>
        <w:rPr>
          <w:rFonts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202</w:t>
      </w:r>
      <w:r>
        <w:rPr>
          <w:rFonts w:hint="eastAsia" w:ascii="宋体" w:hAnsi="宋体"/>
          <w:sz w:val="44"/>
          <w:szCs w:val="44"/>
          <w:lang w:val="en-US" w:eastAsia="zh-CN"/>
        </w:rPr>
        <w:t>5</w:t>
      </w:r>
      <w:r>
        <w:rPr>
          <w:rFonts w:hint="eastAsia" w:ascii="宋体" w:hAnsi="宋体"/>
          <w:sz w:val="44"/>
          <w:szCs w:val="44"/>
        </w:rPr>
        <w:t>—202</w:t>
      </w:r>
      <w:r>
        <w:rPr>
          <w:rFonts w:hint="eastAsia" w:ascii="宋体" w:hAnsi="宋体"/>
          <w:sz w:val="44"/>
          <w:szCs w:val="44"/>
          <w:lang w:val="en-US" w:eastAsia="zh-CN"/>
        </w:rPr>
        <w:t>6</w:t>
      </w:r>
      <w:r>
        <w:rPr>
          <w:rFonts w:hint="eastAsia" w:ascii="宋体" w:hAnsi="宋体"/>
          <w:sz w:val="44"/>
          <w:szCs w:val="44"/>
        </w:rPr>
        <w:t>年度第  2  学期</w:t>
      </w:r>
    </w:p>
    <w:p w14:paraId="2AADB384">
      <w:pPr>
        <w:ind w:firstLine="2160" w:firstLineChars="600"/>
        <w:rPr>
          <w:rFonts w:ascii="宋体" w:hAnsi="宋体"/>
          <w:sz w:val="36"/>
        </w:rPr>
      </w:pPr>
    </w:p>
    <w:p w14:paraId="3BD39C33">
      <w:pPr>
        <w:ind w:firstLine="2160" w:firstLineChars="600"/>
        <w:rPr>
          <w:rFonts w:ascii="宋体" w:hAnsi="宋体"/>
          <w:sz w:val="36"/>
        </w:rPr>
      </w:pPr>
    </w:p>
    <w:p w14:paraId="61E3DB95">
      <w:pPr>
        <w:rPr>
          <w:rFonts w:ascii="宋体" w:hAnsi="宋体"/>
        </w:rPr>
      </w:pPr>
    </w:p>
    <w:p w14:paraId="11E326E1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说明</w:t>
      </w:r>
    </w:p>
    <w:p w14:paraId="15357FC3">
      <w:pPr>
        <w:spacing w:line="360" w:lineRule="auto"/>
        <w:ind w:firstLine="355" w:firstLineChars="148"/>
        <w:rPr>
          <w:sz w:val="24"/>
        </w:rPr>
      </w:pPr>
      <w:r>
        <w:rPr>
          <w:rFonts w:hint="eastAsia"/>
          <w:sz w:val="24"/>
        </w:rPr>
        <w:t>一、教学工作计划一般应有以下内容。</w:t>
      </w:r>
    </w:p>
    <w:p w14:paraId="4EF7062F">
      <w:pPr>
        <w:spacing w:line="360" w:lineRule="auto"/>
        <w:ind w:firstLine="470" w:firstLineChars="196"/>
        <w:rPr>
          <w:sz w:val="24"/>
        </w:rPr>
      </w:pPr>
      <w:r>
        <w:rPr>
          <w:rFonts w:hint="eastAsia"/>
          <w:sz w:val="24"/>
        </w:rPr>
        <w:t>1、教学目的要求。</w:t>
      </w:r>
    </w:p>
    <w:p w14:paraId="1CEF0D9B">
      <w:pPr>
        <w:spacing w:line="360" w:lineRule="auto"/>
        <w:ind w:firstLine="470" w:firstLineChars="196"/>
        <w:rPr>
          <w:sz w:val="24"/>
        </w:rPr>
      </w:pPr>
      <w:r>
        <w:rPr>
          <w:rFonts w:hint="eastAsia"/>
          <w:sz w:val="24"/>
        </w:rPr>
        <w:t>2、选用教材名称、编者、版本、教师备课主要参考书目，介绍给学生的阅读参考书目。</w:t>
      </w:r>
    </w:p>
    <w:p w14:paraId="52E2A9F3">
      <w:pPr>
        <w:spacing w:line="360" w:lineRule="auto"/>
        <w:ind w:firstLine="470" w:firstLineChars="196"/>
        <w:rPr>
          <w:sz w:val="24"/>
        </w:rPr>
      </w:pPr>
      <w:r>
        <w:rPr>
          <w:rFonts w:hint="eastAsia"/>
          <w:sz w:val="24"/>
        </w:rPr>
        <w:t>3、改革教学方法，提高教迷质量的具体措施，如：</w:t>
      </w:r>
    </w:p>
    <w:p w14:paraId="79C62A5F">
      <w:pPr>
        <w:spacing w:line="360" w:lineRule="auto"/>
        <w:ind w:firstLine="470" w:firstLineChars="196"/>
        <w:rPr>
          <w:sz w:val="24"/>
        </w:rPr>
      </w:pPr>
      <w:r>
        <w:rPr>
          <w:rFonts w:hint="eastAsia"/>
          <w:sz w:val="24"/>
        </w:rPr>
        <w:t>（1）处理教材，改革教学方法，培养学生自学的基本考虑。</w:t>
      </w:r>
    </w:p>
    <w:p w14:paraId="22CCCB21">
      <w:pPr>
        <w:spacing w:line="360" w:lineRule="auto"/>
        <w:ind w:firstLine="470" w:firstLineChars="196"/>
        <w:rPr>
          <w:sz w:val="24"/>
        </w:rPr>
      </w:pPr>
      <w:r>
        <w:rPr>
          <w:rFonts w:hint="eastAsia"/>
          <w:sz w:val="24"/>
        </w:rPr>
        <w:t>（2）作业方式、作业量、作业处理方式。</w:t>
      </w:r>
    </w:p>
    <w:p w14:paraId="590BB43B">
      <w:pPr>
        <w:spacing w:line="360" w:lineRule="auto"/>
        <w:ind w:firstLine="470" w:firstLineChars="196"/>
        <w:rPr>
          <w:sz w:val="24"/>
        </w:rPr>
      </w:pPr>
      <w:r>
        <w:rPr>
          <w:rFonts w:hint="eastAsia"/>
          <w:sz w:val="24"/>
        </w:rPr>
        <w:t>（3）辅导措施。</w:t>
      </w:r>
    </w:p>
    <w:p w14:paraId="54A31263">
      <w:pPr>
        <w:spacing w:line="360" w:lineRule="auto"/>
        <w:ind w:firstLine="470" w:firstLineChars="196"/>
        <w:rPr>
          <w:sz w:val="24"/>
        </w:rPr>
      </w:pPr>
      <w:r>
        <w:rPr>
          <w:rFonts w:hint="eastAsia"/>
          <w:sz w:val="24"/>
        </w:rPr>
        <w:t>（4）除通常的讲授课、习题课、实验课、讨论课外，打算安排哪些其它的教学液压动。</w:t>
      </w:r>
    </w:p>
    <w:p w14:paraId="503F8A70">
      <w:pPr>
        <w:spacing w:line="360" w:lineRule="auto"/>
        <w:ind w:firstLine="470" w:firstLineChars="196"/>
        <w:rPr>
          <w:sz w:val="24"/>
        </w:rPr>
      </w:pPr>
      <w:r>
        <w:rPr>
          <w:rFonts w:hint="eastAsia"/>
          <w:sz w:val="24"/>
        </w:rPr>
        <w:t>（5）对学生的其它要求。</w:t>
      </w:r>
    </w:p>
    <w:p w14:paraId="4FD813BF">
      <w:pPr>
        <w:spacing w:line="360" w:lineRule="auto"/>
        <w:ind w:firstLine="470" w:firstLineChars="196"/>
        <w:rPr>
          <w:sz w:val="24"/>
        </w:rPr>
      </w:pPr>
      <w:r>
        <w:rPr>
          <w:rFonts w:hint="eastAsia"/>
          <w:sz w:val="24"/>
        </w:rPr>
        <w:t>（以上三项可按学期编写，也可按课程周期纺写。）</w:t>
      </w:r>
    </w:p>
    <w:p w14:paraId="5575CD8B">
      <w:pPr>
        <w:spacing w:line="360" w:lineRule="auto"/>
        <w:ind w:firstLine="472" w:firstLineChars="197"/>
        <w:rPr>
          <w:sz w:val="24"/>
        </w:rPr>
      </w:pPr>
      <w:r>
        <w:rPr>
          <w:rFonts w:hint="eastAsia"/>
          <w:sz w:val="24"/>
        </w:rPr>
        <w:t>4、课程考核方案：</w:t>
      </w:r>
    </w:p>
    <w:p w14:paraId="3220FAE8">
      <w:pPr>
        <w:spacing w:line="360" w:lineRule="auto"/>
        <w:ind w:firstLine="472" w:firstLineChars="197"/>
        <w:rPr>
          <w:sz w:val="24"/>
        </w:rPr>
      </w:pPr>
      <w:r>
        <w:rPr>
          <w:rFonts w:hint="eastAsia"/>
          <w:sz w:val="24"/>
        </w:rPr>
        <w:t>（1）考试时间：期末集中或者提前（第16周最后一次课）。</w:t>
      </w:r>
    </w:p>
    <w:p w14:paraId="3E2AB602">
      <w:pPr>
        <w:spacing w:line="360" w:lineRule="auto"/>
        <w:ind w:firstLine="472" w:firstLineChars="197"/>
        <w:rPr>
          <w:sz w:val="24"/>
        </w:rPr>
      </w:pPr>
      <w:r>
        <w:rPr>
          <w:rFonts w:hint="eastAsia"/>
          <w:sz w:val="24"/>
        </w:rPr>
        <w:t>（2）课程考核形式（开、闭卷。口试，论文，调查研报告等，）</w:t>
      </w:r>
    </w:p>
    <w:p w14:paraId="3398BBA1">
      <w:pPr>
        <w:spacing w:line="360" w:lineRule="auto"/>
        <w:ind w:firstLine="472" w:firstLineChars="197"/>
        <w:rPr>
          <w:sz w:val="24"/>
        </w:rPr>
      </w:pPr>
      <w:r>
        <w:rPr>
          <w:rFonts w:hint="eastAsia"/>
          <w:sz w:val="24"/>
        </w:rPr>
        <w:t>（3）考核内容、难易度，时间长度，所占课程成绩的比例，采用提前开卷的说明的理由。</w:t>
      </w:r>
    </w:p>
    <w:p w14:paraId="1EA02047">
      <w:pPr>
        <w:spacing w:line="360" w:lineRule="auto"/>
        <w:ind w:firstLine="475" w:firstLineChars="198"/>
        <w:rPr>
          <w:sz w:val="24"/>
        </w:rPr>
      </w:pPr>
      <w:r>
        <w:rPr>
          <w:rFonts w:hint="eastAsia"/>
          <w:sz w:val="24"/>
        </w:rPr>
        <w:t>5、教学进度（此项必须按学期填入附表，并向学生公布）。</w:t>
      </w:r>
    </w:p>
    <w:p w14:paraId="09BA21CA">
      <w:pPr>
        <w:spacing w:line="360" w:lineRule="auto"/>
        <w:ind w:firstLine="472" w:firstLineChars="197"/>
        <w:rPr>
          <w:sz w:val="24"/>
        </w:rPr>
      </w:pPr>
      <w:r>
        <w:rPr>
          <w:rFonts w:hint="eastAsia"/>
          <w:sz w:val="24"/>
        </w:rPr>
        <w:t>6、需要提供的教具或其它教学条件。</w:t>
      </w:r>
    </w:p>
    <w:p w14:paraId="4217D081">
      <w:pPr>
        <w:spacing w:line="360" w:lineRule="auto"/>
        <w:ind w:firstLine="472" w:firstLineChars="197"/>
        <w:rPr>
          <w:sz w:val="24"/>
        </w:rPr>
      </w:pPr>
      <w:r>
        <w:rPr>
          <w:rFonts w:hint="eastAsia"/>
          <w:sz w:val="24"/>
        </w:rPr>
        <w:t>二、安排专人辅导工作，从事实验室建设，备课，进修的教师也应制订计划，一般应写明工作、学习的主要任务、目标及落实措施。</w:t>
      </w:r>
    </w:p>
    <w:p w14:paraId="12975CF9">
      <w:pPr>
        <w:spacing w:line="360" w:lineRule="auto"/>
        <w:ind w:firstLine="472" w:firstLineChars="197"/>
        <w:rPr>
          <w:sz w:val="24"/>
        </w:rPr>
      </w:pPr>
      <w:r>
        <w:rPr>
          <w:rFonts w:hint="eastAsia"/>
          <w:sz w:val="24"/>
        </w:rPr>
        <w:t>三、本计划一式两份，一份自存，一份于开学后第一周内交教研组讨论审查、补充修改后于第二周内交系。</w:t>
      </w:r>
    </w:p>
    <w:p w14:paraId="424B98B6">
      <w:pPr>
        <w:spacing w:line="360" w:lineRule="auto"/>
        <w:ind w:firstLine="472" w:firstLineChars="197"/>
        <w:rPr>
          <w:sz w:val="24"/>
        </w:rPr>
      </w:pPr>
      <w:r>
        <w:rPr>
          <w:rFonts w:hint="eastAsia"/>
          <w:sz w:val="24"/>
        </w:rPr>
        <w:t>四、辅导教师的工作计划由主讲教师指导编写。</w:t>
      </w:r>
    </w:p>
    <w:p w14:paraId="6118CBC6">
      <w:pPr>
        <w:spacing w:line="360" w:lineRule="auto"/>
        <w:ind w:firstLine="472" w:firstLineChars="197"/>
        <w:rPr>
          <w:sz w:val="24"/>
        </w:rPr>
      </w:pPr>
      <w:r>
        <w:rPr>
          <w:rFonts w:hint="eastAsia"/>
          <w:sz w:val="24"/>
        </w:rPr>
        <w:t>五、教师工作计划执行情况每学期应由教研室组长做两次检查记录。</w:t>
      </w:r>
    </w:p>
    <w:p w14:paraId="16ED9EA2">
      <w:pPr>
        <w:spacing w:line="360" w:lineRule="auto"/>
        <w:ind w:firstLine="472" w:firstLineChars="197"/>
        <w:rPr>
          <w:sz w:val="24"/>
        </w:rPr>
      </w:pPr>
      <w:r>
        <w:rPr>
          <w:rFonts w:hint="eastAsia"/>
          <w:sz w:val="24"/>
        </w:rPr>
        <w:t>六、教师工作计划一学年归档一次。</w:t>
      </w:r>
    </w:p>
    <w:p w14:paraId="17D2E902">
      <w:pPr>
        <w:rPr>
          <w:rFonts w:ascii="宋体" w:hAnsi="宋体"/>
        </w:rPr>
      </w:pPr>
    </w:p>
    <w:p w14:paraId="3F3ACB83">
      <w:pPr>
        <w:rPr>
          <w:rFonts w:ascii="宋体" w:hAnsi="宋体"/>
        </w:rPr>
      </w:pPr>
    </w:p>
    <w:p w14:paraId="79FD9F1A">
      <w:pPr>
        <w:rPr>
          <w:rFonts w:ascii="宋体" w:hAnsi="宋体"/>
          <w:sz w:val="24"/>
        </w:rPr>
      </w:pPr>
    </w:p>
    <w:p w14:paraId="7DD56A92">
      <w:pPr>
        <w:jc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教学工作计划内容</w:t>
      </w:r>
    </w:p>
    <w:p w14:paraId="449AABFE">
      <w:pPr>
        <w:pStyle w:val="2"/>
        <w:spacing w:line="360" w:lineRule="auto"/>
        <w:ind w:right="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一、教学目的</w:t>
      </w:r>
    </w:p>
    <w:p w14:paraId="5DDD6FF4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《计量经济学》是金融数学专业的专业基础课程，它主要讲授理论计量经济学的内容，其目的在于使学生掌握理论计量经济学的基本理论、方法和原理，培养实证分析与量化分析的思维能力。通过本课程的学习，学生应达到以下几方面的目标：</w:t>
      </w:r>
    </w:p>
    <w:p w14:paraId="7DA106FB"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1.掌握基本的经典计量经济学理论与方法，并对计量经济学理论与方法的扩展和新发展有概念性了解；能够建立并应用简单的计量经济学模型，对现实经济现象中的数量关系进行实际分析</w:t>
      </w:r>
      <w:r>
        <w:rPr>
          <w:rFonts w:hint="eastAsia" w:ascii="宋体" w:hAnsi="宋体"/>
          <w:sz w:val="24"/>
          <w:lang w:eastAsia="zh-CN"/>
        </w:rPr>
        <w:t>。</w:t>
      </w:r>
      <w:r>
        <w:rPr>
          <w:rFonts w:hint="eastAsia" w:ascii="宋体" w:hAnsi="宋体" w:cs="仿宋_gb2312"/>
          <w:sz w:val="24"/>
          <w:lang w:val="zh-CN"/>
        </w:rPr>
        <w:t>【毕业要求1】</w:t>
      </w:r>
    </w:p>
    <w:p w14:paraId="1AA33802">
      <w:pPr>
        <w:spacing w:line="360" w:lineRule="auto"/>
        <w:ind w:firstLine="480" w:firstLineChars="200"/>
        <w:jc w:val="left"/>
        <w:rPr>
          <w:rFonts w:ascii="宋体" w:hAnsi="宋体" w:cs="仿宋_gb2312"/>
          <w:sz w:val="24"/>
          <w:lang w:val="zh-CN"/>
        </w:rPr>
      </w:pPr>
      <w:r>
        <w:rPr>
          <w:rFonts w:hint="eastAsia" w:ascii="宋体" w:hAnsi="宋体" w:cs="仿宋_gb2312"/>
          <w:sz w:val="24"/>
        </w:rPr>
        <w:t>2.</w:t>
      </w:r>
      <w:r>
        <w:rPr>
          <w:rFonts w:hint="eastAsia" w:ascii="宋体" w:hAnsi="宋体" w:cs="仿宋_gb2312"/>
          <w:sz w:val="24"/>
          <w:lang w:val="zh-CN"/>
        </w:rPr>
        <w:t>能够协同工作、从事金融统计、金融风险管理等工作，</w:t>
      </w:r>
      <w:r>
        <w:rPr>
          <w:rFonts w:hint="eastAsia" w:ascii="宋体" w:hAnsi="宋体"/>
          <w:sz w:val="24"/>
        </w:rPr>
        <w:t>具有进一步学习与应用计量经济学理论、方法与模型的基础和能力。</w:t>
      </w:r>
      <w:r>
        <w:rPr>
          <w:rFonts w:hint="eastAsia" w:ascii="宋体" w:hAnsi="宋体" w:cs="仿宋_gb2312"/>
          <w:sz w:val="24"/>
          <w:lang w:val="zh-CN"/>
        </w:rPr>
        <w:t>【毕业要求2】</w:t>
      </w:r>
    </w:p>
    <w:p w14:paraId="7CCA838D">
      <w:pPr>
        <w:spacing w:line="420" w:lineRule="exact"/>
        <w:ind w:firstLine="470" w:firstLineChars="196"/>
        <w:outlineLvl w:val="0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 w:cs="仿宋_gb2312"/>
          <w:color w:val="auto"/>
          <w:sz w:val="24"/>
          <w:lang w:val="zh-CN"/>
        </w:rPr>
        <w:t>3.具有人文社会科学素养、社会责任感和良好的金融专业素养，</w:t>
      </w:r>
      <w:r>
        <w:rPr>
          <w:rFonts w:hint="eastAsia" w:ascii="宋体" w:hAnsi="宋体"/>
          <w:color w:val="auto"/>
          <w:sz w:val="24"/>
        </w:rPr>
        <w:t>了解现代经济学的特征，了解经济数量分析课程在经济学课程体系中的地位，了解经济数量分析在经济学科的发展和在实际经济工作中的作用</w:t>
      </w:r>
      <w:r>
        <w:rPr>
          <w:rFonts w:hint="eastAsia"/>
          <w:color w:val="auto"/>
          <w:sz w:val="24"/>
        </w:rPr>
        <w:t>。【毕业要求</w:t>
      </w:r>
      <w:r>
        <w:rPr>
          <w:color w:val="auto"/>
          <w:sz w:val="24"/>
        </w:rPr>
        <w:t>3</w:t>
      </w:r>
      <w:r>
        <w:rPr>
          <w:rFonts w:hint="eastAsia"/>
          <w:color w:val="auto"/>
          <w:sz w:val="24"/>
        </w:rPr>
        <w:t>】</w:t>
      </w:r>
    </w:p>
    <w:p w14:paraId="74558F58">
      <w:pPr>
        <w:pStyle w:val="2"/>
        <w:numPr>
          <w:ilvl w:val="0"/>
          <w:numId w:val="1"/>
        </w:numPr>
        <w:spacing w:line="360" w:lineRule="auto"/>
        <w:ind w:right="6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教学主要内容和学时分配</w:t>
      </w:r>
    </w:p>
    <w:p w14:paraId="5BD19133">
      <w:pPr>
        <w:pStyle w:val="2"/>
        <w:spacing w:line="360" w:lineRule="auto"/>
        <w:ind w:right="6"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第一章 </w:t>
      </w:r>
      <w:r>
        <w:rPr>
          <w:rFonts w:hint="eastAsia" w:ascii="宋体" w:hAnsi="宋体"/>
          <w:b/>
          <w:sz w:val="24"/>
          <w:szCs w:val="24"/>
          <w:lang w:eastAsia="zh-CN"/>
        </w:rPr>
        <w:t>导论</w:t>
      </w:r>
      <w:r>
        <w:rPr>
          <w:rFonts w:hint="eastAsia" w:ascii="宋体" w:hAnsi="宋体"/>
          <w:b/>
          <w:sz w:val="24"/>
          <w:szCs w:val="24"/>
        </w:rPr>
        <w:t>（4课时）</w:t>
      </w:r>
    </w:p>
    <w:p w14:paraId="231ECBE9">
      <w:pPr>
        <w:pStyle w:val="2"/>
        <w:spacing w:line="360" w:lineRule="auto"/>
        <w:ind w:right="6" w:firstLine="480" w:firstLineChars="200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 xml:space="preserve">第一节 </w:t>
      </w:r>
      <w:r>
        <w:rPr>
          <w:rFonts w:hint="eastAsia" w:ascii="宋体" w:hAnsi="宋体"/>
          <w:sz w:val="24"/>
          <w:szCs w:val="24"/>
          <w:lang w:eastAsia="zh-CN"/>
        </w:rPr>
        <w:t>什么是计量经济学</w:t>
      </w:r>
    </w:p>
    <w:p w14:paraId="1B32BD96"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 xml:space="preserve">第二节 </w:t>
      </w:r>
      <w:r>
        <w:rPr>
          <w:rFonts w:hint="eastAsia" w:ascii="宋体" w:hAnsi="宋体"/>
          <w:sz w:val="24"/>
          <w:szCs w:val="24"/>
          <w:lang w:eastAsia="zh-CN"/>
        </w:rPr>
        <w:t>计量经济学的研究步骤</w:t>
      </w:r>
    </w:p>
    <w:p w14:paraId="17170BCC">
      <w:pPr>
        <w:pStyle w:val="2"/>
        <w:spacing w:line="360" w:lineRule="auto"/>
        <w:ind w:right="6" w:firstLine="480" w:firstLineChars="200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第三节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变量、参数、数据与模型</w:t>
      </w:r>
    </w:p>
    <w:p w14:paraId="2D38FF47">
      <w:pPr>
        <w:pStyle w:val="2"/>
        <w:spacing w:line="360" w:lineRule="auto"/>
        <w:ind w:right="6"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第二章 </w:t>
      </w:r>
      <w:r>
        <w:rPr>
          <w:rFonts w:hint="eastAsia" w:ascii="宋体" w:hAnsi="宋体"/>
          <w:b/>
          <w:sz w:val="24"/>
          <w:szCs w:val="24"/>
          <w:lang w:eastAsia="zh-CN"/>
        </w:rPr>
        <w:t>简单线性回归</w:t>
      </w:r>
      <w:r>
        <w:rPr>
          <w:rFonts w:hint="eastAsia" w:ascii="宋体" w:hAnsi="宋体"/>
          <w:b/>
          <w:sz w:val="24"/>
          <w:szCs w:val="24"/>
        </w:rPr>
        <w:t>模型（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6</w:t>
      </w:r>
      <w:r>
        <w:rPr>
          <w:rFonts w:hint="eastAsia" w:ascii="宋体" w:hAnsi="宋体"/>
          <w:b/>
          <w:sz w:val="24"/>
          <w:szCs w:val="24"/>
        </w:rPr>
        <w:t>课时）</w:t>
      </w:r>
    </w:p>
    <w:p w14:paraId="6DB23B20">
      <w:pPr>
        <w:pStyle w:val="2"/>
        <w:spacing w:line="360" w:lineRule="auto"/>
        <w:ind w:right="6" w:firstLine="480" w:firstLineChars="200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 xml:space="preserve">第一节 </w:t>
      </w:r>
      <w:r>
        <w:rPr>
          <w:rFonts w:hint="eastAsia" w:ascii="宋体" w:hAnsi="宋体"/>
          <w:sz w:val="24"/>
          <w:szCs w:val="24"/>
          <w:lang w:eastAsia="zh-CN"/>
        </w:rPr>
        <w:t>回归分析与回归函数</w:t>
      </w:r>
    </w:p>
    <w:p w14:paraId="4914F228">
      <w:pPr>
        <w:pStyle w:val="2"/>
        <w:spacing w:line="360" w:lineRule="auto"/>
        <w:ind w:right="6" w:firstLine="480" w:firstLineChars="200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 xml:space="preserve">第二节 </w:t>
      </w:r>
      <w:r>
        <w:rPr>
          <w:rFonts w:hint="eastAsia" w:ascii="宋体" w:hAnsi="宋体"/>
          <w:sz w:val="24"/>
          <w:szCs w:val="24"/>
          <w:lang w:eastAsia="zh-CN"/>
        </w:rPr>
        <w:t>简单线性回归</w:t>
      </w:r>
      <w:r>
        <w:rPr>
          <w:rFonts w:hint="eastAsia" w:ascii="宋体" w:hAnsi="宋体"/>
          <w:sz w:val="24"/>
          <w:szCs w:val="24"/>
        </w:rPr>
        <w:t>模型</w:t>
      </w:r>
      <w:r>
        <w:rPr>
          <w:rFonts w:hint="eastAsia" w:ascii="宋体" w:hAnsi="宋体"/>
          <w:sz w:val="24"/>
          <w:szCs w:val="24"/>
          <w:lang w:eastAsia="zh-CN"/>
        </w:rPr>
        <w:t>参数的估计</w:t>
      </w:r>
    </w:p>
    <w:p w14:paraId="21A93C3D">
      <w:pPr>
        <w:pStyle w:val="2"/>
        <w:spacing w:line="360" w:lineRule="auto"/>
        <w:ind w:right="6" w:firstLine="480" w:firstLineChars="200"/>
        <w:rPr>
          <w:rFonts w:hint="eastAsia" w:ascii="宋体" w:hAnsi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szCs w:val="24"/>
          <w:lang w:eastAsia="zh-CN"/>
        </w:rPr>
        <w:t>第三节</w:t>
      </w:r>
      <w:r>
        <w:rPr>
          <w:rFonts w:hint="eastAsia" w:ascii="宋体" w:hAnsi="宋体"/>
          <w:b w:val="0"/>
          <w:bCs/>
          <w:sz w:val="24"/>
          <w:szCs w:val="24"/>
          <w:lang w:val="en-US" w:eastAsia="zh-CN"/>
        </w:rPr>
        <w:t xml:space="preserve"> 拟合优度的度量</w:t>
      </w:r>
    </w:p>
    <w:p w14:paraId="0D2A71E8">
      <w:pPr>
        <w:pStyle w:val="2"/>
        <w:spacing w:line="360" w:lineRule="auto"/>
        <w:ind w:right="6" w:firstLine="480" w:firstLineChars="200"/>
        <w:rPr>
          <w:rFonts w:hint="eastAsia" w:ascii="宋体" w:hAnsi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szCs w:val="24"/>
          <w:lang w:val="en-US" w:eastAsia="zh-CN"/>
        </w:rPr>
        <w:t>第四节 回归系数的假设检验和区间估计</w:t>
      </w:r>
    </w:p>
    <w:p w14:paraId="4E084D03">
      <w:pPr>
        <w:pStyle w:val="2"/>
        <w:spacing w:line="360" w:lineRule="auto"/>
        <w:ind w:right="6" w:firstLine="480" w:firstLineChars="200"/>
        <w:rPr>
          <w:rFonts w:hint="default" w:ascii="宋体" w:hAnsi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szCs w:val="24"/>
          <w:lang w:val="en-US" w:eastAsia="zh-CN"/>
        </w:rPr>
        <w:t>第五节 回归模型的预测</w:t>
      </w:r>
    </w:p>
    <w:p w14:paraId="118C69C1">
      <w:pPr>
        <w:pStyle w:val="2"/>
        <w:spacing w:line="360" w:lineRule="auto"/>
        <w:ind w:right="6"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第三章 </w:t>
      </w:r>
      <w:r>
        <w:rPr>
          <w:rFonts w:hint="eastAsia" w:ascii="宋体" w:hAnsi="宋体"/>
          <w:b/>
          <w:sz w:val="24"/>
          <w:szCs w:val="24"/>
          <w:lang w:eastAsia="zh-CN"/>
        </w:rPr>
        <w:t>多元线性回归模型</w:t>
      </w:r>
      <w:r>
        <w:rPr>
          <w:rFonts w:hint="eastAsia" w:ascii="宋体" w:hAnsi="宋体"/>
          <w:b/>
          <w:sz w:val="24"/>
          <w:szCs w:val="24"/>
        </w:rPr>
        <w:t>（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6</w:t>
      </w:r>
      <w:r>
        <w:rPr>
          <w:rFonts w:hint="eastAsia" w:ascii="宋体" w:hAnsi="宋体"/>
          <w:b/>
          <w:sz w:val="24"/>
          <w:szCs w:val="24"/>
        </w:rPr>
        <w:t>课时）</w:t>
      </w:r>
    </w:p>
    <w:p w14:paraId="31C82095">
      <w:pPr>
        <w:pStyle w:val="2"/>
        <w:spacing w:line="360" w:lineRule="auto"/>
        <w:ind w:right="6" w:firstLine="480" w:firstLineChars="200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 xml:space="preserve">第一节 </w:t>
      </w:r>
      <w:r>
        <w:rPr>
          <w:rFonts w:hint="eastAsia" w:ascii="宋体" w:hAnsi="宋体"/>
          <w:sz w:val="24"/>
          <w:szCs w:val="24"/>
          <w:lang w:eastAsia="zh-CN"/>
        </w:rPr>
        <w:t>多元线性回归模型及古典假定</w:t>
      </w:r>
    </w:p>
    <w:p w14:paraId="61697677"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第</w:t>
      </w:r>
      <w:r>
        <w:rPr>
          <w:rFonts w:hint="eastAsia" w:ascii="宋体" w:hAnsi="宋体"/>
          <w:sz w:val="24"/>
          <w:szCs w:val="24"/>
          <w:lang w:eastAsia="zh-CN"/>
        </w:rPr>
        <w:t>二</w:t>
      </w:r>
      <w:r>
        <w:rPr>
          <w:rFonts w:hint="eastAsia" w:ascii="宋体" w:hAnsi="宋体"/>
          <w:sz w:val="24"/>
          <w:szCs w:val="24"/>
        </w:rPr>
        <w:t xml:space="preserve">节 </w:t>
      </w:r>
      <w:r>
        <w:rPr>
          <w:rFonts w:hint="eastAsia" w:ascii="宋体" w:hAnsi="宋体"/>
          <w:sz w:val="24"/>
          <w:szCs w:val="24"/>
          <w:lang w:eastAsia="zh-CN"/>
        </w:rPr>
        <w:t>多元线性回归模型的估计</w:t>
      </w:r>
    </w:p>
    <w:p w14:paraId="19A4DC41"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第</w:t>
      </w:r>
      <w:r>
        <w:rPr>
          <w:rFonts w:hint="eastAsia" w:ascii="宋体" w:hAnsi="宋体"/>
          <w:sz w:val="24"/>
          <w:szCs w:val="24"/>
          <w:lang w:eastAsia="zh-CN"/>
        </w:rPr>
        <w:t>三</w:t>
      </w:r>
      <w:r>
        <w:rPr>
          <w:rFonts w:hint="eastAsia" w:ascii="宋体" w:hAnsi="宋体"/>
          <w:sz w:val="24"/>
          <w:szCs w:val="24"/>
        </w:rPr>
        <w:t xml:space="preserve">节 </w:t>
      </w:r>
      <w:r>
        <w:rPr>
          <w:rFonts w:hint="eastAsia" w:ascii="宋体" w:hAnsi="宋体"/>
          <w:sz w:val="24"/>
          <w:szCs w:val="24"/>
          <w:lang w:eastAsia="zh-CN"/>
        </w:rPr>
        <w:t>多元线性回归模型的假设检验和区间估计</w:t>
      </w:r>
    </w:p>
    <w:p w14:paraId="086BB5F9"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第</w:t>
      </w:r>
      <w:r>
        <w:rPr>
          <w:rFonts w:hint="eastAsia" w:ascii="宋体" w:hAnsi="宋体"/>
          <w:sz w:val="24"/>
          <w:szCs w:val="24"/>
          <w:lang w:eastAsia="zh-CN"/>
        </w:rPr>
        <w:t>四</w:t>
      </w:r>
      <w:r>
        <w:rPr>
          <w:rFonts w:hint="eastAsia" w:ascii="宋体" w:hAnsi="宋体"/>
          <w:sz w:val="24"/>
          <w:szCs w:val="24"/>
        </w:rPr>
        <w:t xml:space="preserve">节 </w:t>
      </w:r>
      <w:r>
        <w:rPr>
          <w:rFonts w:hint="eastAsia" w:ascii="宋体" w:hAnsi="宋体"/>
          <w:sz w:val="24"/>
          <w:szCs w:val="24"/>
          <w:lang w:eastAsia="zh-CN"/>
        </w:rPr>
        <w:t>多元线性回归模型的预测</w:t>
      </w:r>
    </w:p>
    <w:p w14:paraId="69DCC0E9">
      <w:pPr>
        <w:pStyle w:val="2"/>
        <w:spacing w:line="360" w:lineRule="auto"/>
        <w:ind w:right="6"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第四章 </w:t>
      </w:r>
      <w:r>
        <w:rPr>
          <w:rFonts w:hint="eastAsia" w:ascii="宋体" w:hAnsi="宋体"/>
          <w:b/>
          <w:sz w:val="24"/>
          <w:szCs w:val="24"/>
          <w:lang w:eastAsia="zh-CN"/>
        </w:rPr>
        <w:t>多重共线性</w:t>
      </w:r>
      <w:r>
        <w:rPr>
          <w:rFonts w:hint="eastAsia" w:ascii="宋体" w:hAnsi="宋体"/>
          <w:b/>
          <w:sz w:val="24"/>
          <w:szCs w:val="24"/>
        </w:rPr>
        <w:t>（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b/>
          <w:sz w:val="24"/>
          <w:szCs w:val="24"/>
        </w:rPr>
        <w:t>课时）</w:t>
      </w:r>
    </w:p>
    <w:p w14:paraId="309BDC9B"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 xml:space="preserve">第一节 </w:t>
      </w:r>
      <w:r>
        <w:rPr>
          <w:rFonts w:hint="eastAsia" w:ascii="宋体" w:hAnsi="宋体"/>
          <w:sz w:val="24"/>
          <w:szCs w:val="24"/>
          <w:lang w:eastAsia="zh-CN"/>
        </w:rPr>
        <w:t>什么是多重共线性</w:t>
      </w:r>
    </w:p>
    <w:p w14:paraId="39482AB5"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第二节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多重共线性产生的后果</w:t>
      </w:r>
    </w:p>
    <w:p w14:paraId="65B426CD"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第三节 多重共线性的检验</w:t>
      </w:r>
    </w:p>
    <w:p w14:paraId="4C2B4B29">
      <w:pPr>
        <w:pStyle w:val="2"/>
        <w:spacing w:line="360" w:lineRule="auto"/>
        <w:ind w:right="6" w:firstLine="480" w:firstLineChars="200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第四节 多重共线性的补救措施</w:t>
      </w:r>
    </w:p>
    <w:p w14:paraId="49E06FE2">
      <w:pPr>
        <w:pStyle w:val="2"/>
        <w:spacing w:line="360" w:lineRule="auto"/>
        <w:ind w:right="6"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第五章 </w:t>
      </w:r>
      <w:r>
        <w:rPr>
          <w:rFonts w:hint="eastAsia" w:ascii="宋体" w:hAnsi="宋体"/>
          <w:b/>
          <w:sz w:val="24"/>
          <w:szCs w:val="24"/>
          <w:lang w:eastAsia="zh-CN"/>
        </w:rPr>
        <w:t>异方差性</w:t>
      </w:r>
      <w:r>
        <w:rPr>
          <w:rFonts w:hint="eastAsia" w:ascii="宋体" w:hAnsi="宋体"/>
          <w:b/>
          <w:sz w:val="24"/>
          <w:szCs w:val="24"/>
        </w:rPr>
        <w:t>（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6</w:t>
      </w:r>
      <w:r>
        <w:rPr>
          <w:rFonts w:hint="eastAsia" w:ascii="宋体" w:hAnsi="宋体"/>
          <w:b/>
          <w:sz w:val="24"/>
          <w:szCs w:val="24"/>
        </w:rPr>
        <w:t>课时）</w:t>
      </w:r>
    </w:p>
    <w:p w14:paraId="2464B05E"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 xml:space="preserve">第一节 </w:t>
      </w:r>
      <w:r>
        <w:rPr>
          <w:rFonts w:hint="eastAsia" w:ascii="宋体" w:hAnsi="宋体"/>
          <w:sz w:val="24"/>
          <w:szCs w:val="24"/>
          <w:lang w:eastAsia="zh-CN"/>
        </w:rPr>
        <w:t>异方差性的概念</w:t>
      </w:r>
    </w:p>
    <w:p w14:paraId="23B442AF"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第二节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异方差性产生的后果</w:t>
      </w:r>
    </w:p>
    <w:p w14:paraId="58FA7092"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第三节 异方差性的检验</w:t>
      </w:r>
    </w:p>
    <w:p w14:paraId="66566BAD">
      <w:pPr>
        <w:pStyle w:val="2"/>
        <w:spacing w:line="360" w:lineRule="auto"/>
        <w:ind w:right="6" w:firstLine="480" w:firstLineChars="200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第四节 异方差性的补救措施</w:t>
      </w:r>
    </w:p>
    <w:p w14:paraId="1208BA9B">
      <w:pPr>
        <w:pStyle w:val="2"/>
        <w:spacing w:line="360" w:lineRule="auto"/>
        <w:ind w:right="6"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第六章 </w:t>
      </w:r>
      <w:r>
        <w:rPr>
          <w:rFonts w:hint="eastAsia" w:ascii="宋体" w:hAnsi="宋体"/>
          <w:b/>
          <w:sz w:val="24"/>
          <w:szCs w:val="24"/>
          <w:lang w:eastAsia="zh-CN"/>
        </w:rPr>
        <w:t>自相关</w:t>
      </w:r>
      <w:r>
        <w:rPr>
          <w:rFonts w:hint="eastAsia" w:ascii="宋体" w:hAnsi="宋体"/>
          <w:b/>
          <w:sz w:val="24"/>
          <w:szCs w:val="24"/>
        </w:rPr>
        <w:t>（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6</w:t>
      </w:r>
      <w:r>
        <w:rPr>
          <w:rFonts w:hint="eastAsia" w:ascii="宋体" w:hAnsi="宋体"/>
          <w:b/>
          <w:sz w:val="24"/>
          <w:szCs w:val="24"/>
        </w:rPr>
        <w:t>课时）</w:t>
      </w:r>
    </w:p>
    <w:p w14:paraId="2602604B"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 xml:space="preserve">第一节 </w:t>
      </w:r>
      <w:r>
        <w:rPr>
          <w:rFonts w:hint="eastAsia" w:ascii="宋体" w:hAnsi="宋体"/>
          <w:sz w:val="24"/>
          <w:szCs w:val="24"/>
          <w:lang w:eastAsia="zh-CN"/>
        </w:rPr>
        <w:t>自相关的概念</w:t>
      </w:r>
    </w:p>
    <w:p w14:paraId="1F0C9565"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第二节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自相关产生的后果</w:t>
      </w:r>
    </w:p>
    <w:p w14:paraId="4FF89484"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第三节 自相关的检验</w:t>
      </w:r>
    </w:p>
    <w:p w14:paraId="4454BB94">
      <w:pPr>
        <w:pStyle w:val="2"/>
        <w:spacing w:line="360" w:lineRule="auto"/>
        <w:ind w:right="6" w:firstLine="480" w:firstLineChars="200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第四节 自相关的补救措施</w:t>
      </w:r>
    </w:p>
    <w:p w14:paraId="78B11FF8">
      <w:pPr>
        <w:pStyle w:val="2"/>
        <w:spacing w:line="360" w:lineRule="auto"/>
        <w:ind w:right="6"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第七章 </w:t>
      </w:r>
      <w:r>
        <w:rPr>
          <w:rFonts w:hint="eastAsia" w:ascii="宋体" w:hAnsi="宋体"/>
          <w:b/>
          <w:sz w:val="24"/>
          <w:szCs w:val="24"/>
          <w:lang w:eastAsia="zh-CN"/>
        </w:rPr>
        <w:t>分布滞后模型与自回归模型</w:t>
      </w:r>
      <w:r>
        <w:rPr>
          <w:rFonts w:hint="eastAsia" w:ascii="宋体" w:hAnsi="宋体"/>
          <w:b/>
          <w:sz w:val="24"/>
          <w:szCs w:val="24"/>
        </w:rPr>
        <w:t>（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6</w:t>
      </w:r>
      <w:r>
        <w:rPr>
          <w:rFonts w:hint="eastAsia" w:ascii="宋体" w:hAnsi="宋体"/>
          <w:b/>
          <w:sz w:val="24"/>
          <w:szCs w:val="24"/>
        </w:rPr>
        <w:t>课时）</w:t>
      </w:r>
    </w:p>
    <w:p w14:paraId="7D1B06D6"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第一节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滞后效应和滞后变量模型</w:t>
      </w:r>
    </w:p>
    <w:p w14:paraId="1E9CCAF0"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第二节 分布滞后模型的估计</w:t>
      </w:r>
    </w:p>
    <w:p w14:paraId="32CD3E07"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第三节 自回归模型的构建</w:t>
      </w:r>
    </w:p>
    <w:p w14:paraId="43A65E8D">
      <w:pPr>
        <w:pStyle w:val="2"/>
        <w:spacing w:line="360" w:lineRule="auto"/>
        <w:ind w:right="6" w:firstLine="480" w:firstLineChars="200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第四节 自回归模型的估计</w:t>
      </w:r>
    </w:p>
    <w:p w14:paraId="0ACD742D">
      <w:pPr>
        <w:pStyle w:val="2"/>
        <w:spacing w:line="360" w:lineRule="auto"/>
        <w:ind w:right="6"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第八章 </w:t>
      </w:r>
      <w:r>
        <w:rPr>
          <w:rFonts w:hint="eastAsia" w:ascii="宋体" w:hAnsi="宋体"/>
          <w:b/>
          <w:sz w:val="24"/>
          <w:szCs w:val="24"/>
          <w:lang w:eastAsia="zh-CN"/>
        </w:rPr>
        <w:t>虚拟变量回归</w:t>
      </w:r>
      <w:r>
        <w:rPr>
          <w:rFonts w:hint="eastAsia" w:ascii="宋体" w:hAnsi="宋体"/>
          <w:b/>
          <w:sz w:val="24"/>
          <w:szCs w:val="24"/>
        </w:rPr>
        <w:t>（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b/>
          <w:sz w:val="24"/>
          <w:szCs w:val="24"/>
        </w:rPr>
        <w:t>课时）</w:t>
      </w:r>
    </w:p>
    <w:p w14:paraId="50CD5453"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 xml:space="preserve">第一节 </w:t>
      </w:r>
      <w:r>
        <w:rPr>
          <w:rFonts w:hint="eastAsia" w:ascii="宋体" w:hAnsi="宋体"/>
          <w:sz w:val="24"/>
          <w:szCs w:val="24"/>
          <w:lang w:eastAsia="zh-CN"/>
        </w:rPr>
        <w:t>虚拟变量的概念</w:t>
      </w:r>
    </w:p>
    <w:p w14:paraId="6468630B"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第二节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虚拟解释变量的回归</w:t>
      </w:r>
    </w:p>
    <w:p w14:paraId="0F583719"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第三节 虚拟被解释变量</w:t>
      </w:r>
    </w:p>
    <w:p w14:paraId="6529C4B3">
      <w:pPr>
        <w:pStyle w:val="2"/>
        <w:spacing w:line="360" w:lineRule="auto"/>
        <w:ind w:right="6"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第</w:t>
      </w:r>
      <w:r>
        <w:rPr>
          <w:rFonts w:hint="eastAsia" w:ascii="宋体" w:hAnsi="宋体"/>
          <w:b/>
          <w:sz w:val="24"/>
          <w:szCs w:val="24"/>
          <w:lang w:eastAsia="zh-CN"/>
        </w:rPr>
        <w:t>九</w:t>
      </w:r>
      <w:r>
        <w:rPr>
          <w:rFonts w:hint="eastAsia" w:ascii="宋体" w:hAnsi="宋体"/>
          <w:b/>
          <w:sz w:val="24"/>
          <w:szCs w:val="24"/>
        </w:rPr>
        <w:t xml:space="preserve">章 </w:t>
      </w:r>
      <w:r>
        <w:rPr>
          <w:rFonts w:hint="eastAsia" w:ascii="宋体" w:hAnsi="宋体"/>
          <w:b/>
          <w:sz w:val="24"/>
          <w:szCs w:val="24"/>
          <w:lang w:eastAsia="zh-CN"/>
        </w:rPr>
        <w:t>时间序列计量经济模型</w:t>
      </w:r>
      <w:r>
        <w:rPr>
          <w:rFonts w:hint="eastAsia" w:ascii="宋体" w:hAnsi="宋体"/>
          <w:b/>
          <w:sz w:val="24"/>
          <w:szCs w:val="24"/>
        </w:rPr>
        <w:t>（6课时）</w:t>
      </w:r>
    </w:p>
    <w:p w14:paraId="5248D125"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第一节 时间序列计量经济模型分析的基本概念</w:t>
      </w:r>
    </w:p>
    <w:p w14:paraId="4950D654"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第二节 时间序列平稳性的单位根检验</w:t>
      </w:r>
    </w:p>
    <w:p w14:paraId="4AB30291"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第三节 协整</w:t>
      </w:r>
    </w:p>
    <w:p w14:paraId="618DB002">
      <w:pPr>
        <w:pStyle w:val="2"/>
        <w:spacing w:line="360" w:lineRule="auto"/>
        <w:ind w:right="6" w:firstLine="480" w:firstLineChars="200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第四节 格兰杰因果检验</w:t>
      </w:r>
    </w:p>
    <w:p w14:paraId="44D19FE1">
      <w:pPr>
        <w:pStyle w:val="2"/>
        <w:spacing w:line="360" w:lineRule="auto"/>
        <w:ind w:right="6" w:firstLine="480" w:firstLineChars="200"/>
        <w:rPr>
          <w:rFonts w:hint="default" w:ascii="宋体" w:hAnsi="宋体"/>
          <w:sz w:val="24"/>
          <w:szCs w:val="24"/>
          <w:lang w:val="en-US" w:eastAsia="zh-CN"/>
        </w:rPr>
      </w:pPr>
    </w:p>
    <w:p w14:paraId="71141B76">
      <w:pPr>
        <w:pStyle w:val="2"/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三、教材、参考书</w:t>
      </w:r>
    </w:p>
    <w:p w14:paraId="2097A9E6">
      <w:pPr>
        <w:pStyle w:val="2"/>
        <w:spacing w:line="360" w:lineRule="auto"/>
        <w:ind w:right="6" w:firstLine="482" w:firstLineChars="200"/>
        <w:rPr>
          <w:rFonts w:hint="default" w:ascii="宋体" w:hAnsi="宋体"/>
          <w:sz w:val="24"/>
          <w:szCs w:val="24"/>
          <w:lang w:val="en-US"/>
        </w:rPr>
      </w:pPr>
      <w:r>
        <w:rPr>
          <w:rFonts w:hint="eastAsia" w:ascii="宋体" w:hAnsi="宋体"/>
          <w:b/>
          <w:sz w:val="24"/>
          <w:szCs w:val="24"/>
        </w:rPr>
        <w:t>1.选用教材</w:t>
      </w:r>
      <w:r>
        <w:rPr>
          <w:rFonts w:hint="eastAsia" w:ascii="宋体" w:hAnsi="宋体"/>
          <w:sz w:val="24"/>
          <w:szCs w:val="24"/>
        </w:rPr>
        <w:t>：《</w:t>
      </w:r>
      <w:r>
        <w:rPr>
          <w:rFonts w:hint="eastAsia" w:ascii="宋体" w:hAnsi="宋体"/>
          <w:sz w:val="24"/>
          <w:szCs w:val="24"/>
          <w:lang w:eastAsia="zh-CN"/>
        </w:rPr>
        <w:t>计量经济学</w:t>
      </w:r>
      <w:r>
        <w:rPr>
          <w:rFonts w:hint="eastAsia" w:ascii="宋体" w:hAnsi="宋体"/>
          <w:sz w:val="24"/>
          <w:szCs w:val="24"/>
        </w:rPr>
        <w:t>》，第</w:t>
      </w:r>
      <w:r>
        <w:rPr>
          <w:rFonts w:hint="eastAsia" w:ascii="宋体" w:hAnsi="宋体"/>
          <w:sz w:val="24"/>
          <w:szCs w:val="24"/>
          <w:lang w:val="en-US" w:eastAsia="zh-CN"/>
        </w:rPr>
        <w:t>五</w:t>
      </w:r>
      <w:r>
        <w:rPr>
          <w:rFonts w:hint="eastAsia" w:ascii="宋体" w:hAnsi="宋体"/>
          <w:sz w:val="24"/>
          <w:szCs w:val="24"/>
        </w:rPr>
        <w:t>版，</w:t>
      </w:r>
      <w:r>
        <w:rPr>
          <w:rFonts w:hint="eastAsia" w:ascii="宋体" w:hAnsi="宋体"/>
          <w:sz w:val="24"/>
          <w:szCs w:val="24"/>
          <w:lang w:eastAsia="zh-CN"/>
        </w:rPr>
        <w:t>庞皓</w:t>
      </w:r>
      <w:r>
        <w:rPr>
          <w:rFonts w:hint="eastAsia" w:ascii="宋体" w:hAnsi="宋体"/>
          <w:sz w:val="24"/>
          <w:szCs w:val="24"/>
        </w:rPr>
        <w:t>主编，</w:t>
      </w:r>
      <w:r>
        <w:rPr>
          <w:rFonts w:hint="eastAsia" w:ascii="宋体" w:hAnsi="宋体"/>
          <w:sz w:val="24"/>
          <w:szCs w:val="24"/>
          <w:lang w:eastAsia="zh-CN"/>
        </w:rPr>
        <w:t>科学</w:t>
      </w:r>
      <w:r>
        <w:rPr>
          <w:rFonts w:hint="eastAsia" w:ascii="宋体" w:hAnsi="宋体"/>
          <w:sz w:val="24"/>
          <w:szCs w:val="24"/>
        </w:rPr>
        <w:t>出版社，20</w:t>
      </w:r>
      <w:r>
        <w:rPr>
          <w:rFonts w:hint="eastAsia" w:ascii="宋体" w:hAnsi="宋体"/>
          <w:sz w:val="24"/>
          <w:szCs w:val="24"/>
          <w:lang w:val="en-US" w:eastAsia="zh-CN"/>
        </w:rPr>
        <w:t>19.1</w:t>
      </w:r>
    </w:p>
    <w:p w14:paraId="40CB559B">
      <w:pPr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2.参考书目</w:t>
      </w:r>
      <w:r>
        <w:rPr>
          <w:rFonts w:hint="eastAsia" w:ascii="宋体" w:hAnsi="宋体"/>
          <w:sz w:val="24"/>
          <w:szCs w:val="24"/>
        </w:rPr>
        <w:t>：</w:t>
      </w:r>
    </w:p>
    <w:p w14:paraId="46012804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="宋体" w:hAnsi="宋体"/>
          <w:b/>
          <w:bCs/>
          <w:color w:val="000000"/>
          <w:sz w:val="24"/>
        </w:rPr>
      </w:pPr>
      <w:r>
        <w:rPr>
          <w:rFonts w:hint="eastAsia" w:ascii="宋体" w:hAnsi="宋体" w:cs="Arial"/>
          <w:color w:val="333333"/>
          <w:kern w:val="0"/>
          <w:sz w:val="24"/>
        </w:rPr>
        <w:t>[</w:t>
      </w:r>
      <w:r>
        <w:rPr>
          <w:rFonts w:ascii="宋体" w:hAnsi="宋体" w:cs="Arial"/>
          <w:color w:val="333333"/>
          <w:kern w:val="0"/>
          <w:sz w:val="24"/>
        </w:rPr>
        <w:t>1]</w:t>
      </w:r>
      <w:r>
        <w:rPr>
          <w:rFonts w:hint="eastAsia" w:ascii="宋体" w:hAnsi="宋体" w:cs="Arial"/>
          <w:color w:val="333333"/>
          <w:kern w:val="0"/>
          <w:sz w:val="24"/>
        </w:rPr>
        <w:t>《计量经济学》，李子奈，潘文卿，高等教育出版社，2015年第3版。</w:t>
      </w:r>
    </w:p>
    <w:p w14:paraId="27F40837">
      <w:pPr>
        <w:widowControl/>
        <w:spacing w:line="360" w:lineRule="auto"/>
        <w:ind w:left="423"/>
        <w:jc w:val="left"/>
        <w:rPr>
          <w:rFonts w:ascii="宋体" w:hAnsi="宋体" w:cs="Arial"/>
          <w:color w:val="333333"/>
          <w:kern w:val="0"/>
          <w:sz w:val="24"/>
        </w:rPr>
      </w:pPr>
      <w:r>
        <w:rPr>
          <w:rFonts w:hint="eastAsia" w:ascii="宋体" w:hAnsi="宋体" w:cs="Arial"/>
          <w:color w:val="333333"/>
          <w:kern w:val="0"/>
          <w:sz w:val="24"/>
        </w:rPr>
        <w:t>[</w:t>
      </w:r>
      <w:r>
        <w:rPr>
          <w:rFonts w:ascii="宋体" w:hAnsi="宋体" w:cs="Arial"/>
          <w:color w:val="333333"/>
          <w:kern w:val="0"/>
          <w:sz w:val="24"/>
        </w:rPr>
        <w:t>2]</w:t>
      </w:r>
      <w:r>
        <w:rPr>
          <w:rFonts w:hint="eastAsia" w:ascii="宋体" w:hAnsi="宋体" w:cs="Arial"/>
          <w:color w:val="333333"/>
          <w:kern w:val="0"/>
          <w:sz w:val="24"/>
        </w:rPr>
        <w:t>《计量经济学基础》，D．N．古扎拉蒂著，林少宫译，中国人民大学出版社，2005年第4版。</w:t>
      </w:r>
    </w:p>
    <w:p w14:paraId="3E1D0589">
      <w:pPr>
        <w:widowControl/>
        <w:spacing w:line="360" w:lineRule="auto"/>
        <w:ind w:left="423"/>
        <w:jc w:val="left"/>
        <w:rPr>
          <w:rFonts w:hint="eastAsia" w:ascii="宋体" w:hAnsi="宋体" w:cs="Arial"/>
          <w:color w:val="333333"/>
          <w:kern w:val="0"/>
          <w:sz w:val="24"/>
        </w:rPr>
      </w:pPr>
      <w:r>
        <w:rPr>
          <w:rFonts w:hint="eastAsia" w:ascii="宋体" w:hAnsi="宋体" w:cs="Arial"/>
          <w:color w:val="333333"/>
          <w:kern w:val="0"/>
          <w:sz w:val="24"/>
        </w:rPr>
        <w:t>[</w:t>
      </w:r>
      <w:r>
        <w:rPr>
          <w:rFonts w:ascii="宋体" w:hAnsi="宋体" w:cs="Arial"/>
          <w:color w:val="333333"/>
          <w:kern w:val="0"/>
          <w:sz w:val="24"/>
        </w:rPr>
        <w:t>3]</w:t>
      </w:r>
      <w:r>
        <w:rPr>
          <w:rFonts w:hint="eastAsia" w:ascii="宋体" w:hAnsi="宋体" w:cs="Arial"/>
          <w:color w:val="333333"/>
          <w:kern w:val="0"/>
          <w:sz w:val="24"/>
        </w:rPr>
        <w:t>《计量经济学导论:现代观点》，[美]J.M.伍德里奇著，中国人民大学出版社，2003。</w:t>
      </w:r>
    </w:p>
    <w:p w14:paraId="2B0729B8">
      <w:pPr>
        <w:widowControl/>
        <w:spacing w:line="360" w:lineRule="auto"/>
        <w:ind w:left="423"/>
        <w:jc w:val="left"/>
        <w:rPr>
          <w:rFonts w:hint="eastAsia" w:ascii="宋体" w:hAnsi="宋体" w:cs="Arial"/>
          <w:color w:val="333333"/>
          <w:kern w:val="0"/>
          <w:sz w:val="24"/>
        </w:rPr>
      </w:pPr>
      <w:r>
        <w:rPr>
          <w:rFonts w:hint="eastAsia" w:ascii="宋体" w:hAnsi="宋体" w:cs="Arial"/>
          <w:color w:val="333333"/>
          <w:kern w:val="0"/>
          <w:sz w:val="24"/>
        </w:rPr>
        <w:t>[</w:t>
      </w:r>
      <w:r>
        <w:rPr>
          <w:rFonts w:ascii="宋体" w:hAnsi="宋体" w:cs="Arial"/>
          <w:color w:val="333333"/>
          <w:kern w:val="0"/>
          <w:sz w:val="24"/>
        </w:rPr>
        <w:t>4]</w:t>
      </w:r>
      <w:r>
        <w:rPr>
          <w:rFonts w:hint="eastAsia" w:ascii="宋体" w:hAnsi="宋体" w:cs="Arial"/>
          <w:color w:val="333333"/>
          <w:kern w:val="0"/>
          <w:sz w:val="24"/>
        </w:rPr>
        <w:t>《计量经济学软件EViews使用指南》，张晓峒，南开大学出版社，2004年第2版。</w:t>
      </w:r>
    </w:p>
    <w:p w14:paraId="0001B3D0">
      <w:pPr>
        <w:pStyle w:val="2"/>
        <w:spacing w:line="360" w:lineRule="auto"/>
        <w:ind w:left="479" w:leftChars="228" w:right="6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  <w:szCs w:val="24"/>
        </w:rPr>
        <w:t>四、</w:t>
      </w:r>
      <w:r>
        <w:rPr>
          <w:rFonts w:hint="eastAsia"/>
          <w:b/>
          <w:sz w:val="24"/>
        </w:rPr>
        <w:t>改革教学方法，提高教学质量的具体措施</w:t>
      </w:r>
    </w:p>
    <w:p w14:paraId="59EC19AF">
      <w:pPr>
        <w:spacing w:line="420" w:lineRule="exact"/>
        <w:ind w:firstLine="470" w:firstLineChars="196"/>
        <w:outlineLvl w:val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1.采用以原理为中心的讲课模式，即：</w:t>
      </w:r>
    </w:p>
    <w:p w14:paraId="1442CF44">
      <w:pPr>
        <w:spacing w:line="420" w:lineRule="exact"/>
        <w:ind w:firstLine="470" w:firstLineChars="196"/>
        <w:outlineLvl w:val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一般性概括→对一般性概括的证明→解释、类比、例证、演示、实验→对一般性概括的复述→总结</w:t>
      </w:r>
    </w:p>
    <w:p w14:paraId="274ED1D5">
      <w:pPr>
        <w:spacing w:line="420" w:lineRule="exact"/>
        <w:ind w:firstLine="470" w:firstLineChars="196"/>
        <w:outlineLvl w:val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2.处理教材</w:t>
      </w:r>
    </w:p>
    <w:p w14:paraId="6A554242">
      <w:pPr>
        <w:spacing w:line="420" w:lineRule="exact"/>
        <w:ind w:firstLine="470" w:firstLineChars="196"/>
        <w:outlineLvl w:val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讲课前要深入钻研教学大纲、教材，分析教学重点、难点，在了解学生的学习基础、兴趣、学风、纪律等各种因素的基础上，从实际出发，确定相应的教学手段，根据教学内容本身的逻辑体系，深入研究教法，确定如何做到教师的讲解、学生的练习与教学手段的有机结合，并且应当及时地收集反馈信息，进行总结，改进教法。</w:t>
      </w:r>
    </w:p>
    <w:p w14:paraId="3F3ED803">
      <w:pPr>
        <w:spacing w:line="420" w:lineRule="exact"/>
        <w:ind w:firstLine="470" w:firstLineChars="196"/>
        <w:outlineLvl w:val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3.教学方法</w:t>
      </w:r>
    </w:p>
    <w:p w14:paraId="2633EE7D">
      <w:pPr>
        <w:adjustRightInd w:val="0"/>
        <w:snapToGrid w:val="0"/>
        <w:spacing w:line="360" w:lineRule="auto"/>
        <w:ind w:firstLine="480" w:firstLineChars="200"/>
        <w:rPr>
          <w:rStyle w:val="6"/>
          <w:rFonts w:hint="eastAsia" w:ascii="宋体" w:hAnsi="宋体" w:cs="Courier New"/>
          <w:b w:val="0"/>
          <w:kern w:val="0"/>
          <w:sz w:val="24"/>
        </w:rPr>
      </w:pPr>
      <w:r>
        <w:rPr>
          <w:rStyle w:val="6"/>
          <w:rFonts w:hint="eastAsia" w:ascii="宋体" w:hAnsi="宋体" w:cs="宋体"/>
          <w:b w:val="0"/>
          <w:bCs w:val="0"/>
          <w:sz w:val="24"/>
        </w:rPr>
        <w:t>采取线上线下混合式教学手段：根据课程具体内容，采用多媒体课件、板书、在线教育和实际操作等混合式教学手段，以此充分</w:t>
      </w:r>
      <w:r>
        <w:rPr>
          <w:rStyle w:val="6"/>
          <w:rFonts w:hint="eastAsia" w:ascii="宋体" w:hAnsi="宋体"/>
          <w:b w:val="0"/>
          <w:sz w:val="24"/>
        </w:rPr>
        <w:t>调动学生课内、课外参与学习的积极性，发挥学生学习的主体能动性。</w:t>
      </w:r>
    </w:p>
    <w:p w14:paraId="63BE27BF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五、作业及成绩考核方式</w:t>
      </w:r>
    </w:p>
    <w:p w14:paraId="73B71EFA">
      <w:pPr>
        <w:spacing w:line="420" w:lineRule="exact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（一）作业</w:t>
      </w:r>
    </w:p>
    <w:p w14:paraId="0CAD8A8F">
      <w:pPr>
        <w:pStyle w:val="2"/>
        <w:spacing w:line="360" w:lineRule="auto"/>
        <w:ind w:right="6"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1.作业处置：每学期批改次数不少于4次，每次批改数量不少于1/2.</w:t>
      </w:r>
    </w:p>
    <w:p w14:paraId="24C1A9B0">
      <w:pPr>
        <w:pStyle w:val="2"/>
        <w:spacing w:line="360" w:lineRule="auto"/>
        <w:ind w:right="6"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2.辅导：随机个别或集体答疑.</w:t>
      </w:r>
    </w:p>
    <w:p w14:paraId="616EB40C">
      <w:pPr>
        <w:pStyle w:val="2"/>
        <w:spacing w:line="360" w:lineRule="auto"/>
        <w:ind w:right="6"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3.要求: 多读参考书, 尽量独立完成教材上全部习题.</w:t>
      </w:r>
    </w:p>
    <w:p w14:paraId="0543681D">
      <w:pPr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   （二）考核方式</w:t>
      </w:r>
    </w:p>
    <w:p w14:paraId="356FA98D">
      <w:pPr>
        <w:spacing w:line="42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1.考试时间：120分钟；</w:t>
      </w:r>
    </w:p>
    <w:p w14:paraId="2D0D9E80">
      <w:pPr>
        <w:spacing w:line="42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2.考核方式：期末闭卷考试；</w:t>
      </w:r>
    </w:p>
    <w:p w14:paraId="6A03B102">
      <w:pPr>
        <w:spacing w:line="42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3.总成绩其中平时成绩</w:t>
      </w:r>
      <w:r>
        <w:rPr>
          <w:rFonts w:hint="eastAsia" w:ascii="宋体" w:hAnsi="宋体"/>
          <w:b/>
          <w:bCs/>
          <w:sz w:val="24"/>
          <w:szCs w:val="24"/>
        </w:rPr>
        <w:t>（含平时作业成绩、平时测验成绩、课堂表现</w:t>
      </w:r>
      <w:r>
        <w:rPr>
          <w:rFonts w:hint="eastAsia" w:ascii="宋体" w:hAnsi="宋体"/>
          <w:sz w:val="24"/>
          <w:szCs w:val="24"/>
        </w:rPr>
        <w:t>）占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sz w:val="24"/>
          <w:szCs w:val="24"/>
        </w:rPr>
        <w:t>0%、期末考试成绩占</w:t>
      </w:r>
      <w:r>
        <w:rPr>
          <w:rFonts w:hint="eastAsia" w:ascii="宋体" w:hAnsi="宋体"/>
          <w:sz w:val="24"/>
          <w:szCs w:val="24"/>
          <w:lang w:val="en-US" w:eastAsia="zh-CN"/>
        </w:rPr>
        <w:t>6</w:t>
      </w:r>
      <w:r>
        <w:rPr>
          <w:rFonts w:hint="eastAsia" w:ascii="宋体" w:hAnsi="宋体"/>
          <w:sz w:val="24"/>
          <w:szCs w:val="24"/>
        </w:rPr>
        <w:t>0%，成绩记载采用百分制。</w:t>
      </w:r>
    </w:p>
    <w:p w14:paraId="28D544AF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六、教学进度</w:t>
      </w:r>
    </w:p>
    <w:p w14:paraId="7FA6143F">
      <w:pPr>
        <w:spacing w:line="720" w:lineRule="exact"/>
        <w:jc w:val="center"/>
        <w:rPr>
          <w:rFonts w:ascii="宋体" w:hAnsi="宋体"/>
          <w:b/>
          <w:sz w:val="52"/>
        </w:rPr>
      </w:pPr>
      <w:r>
        <w:rPr>
          <w:rFonts w:hint="eastAsia" w:ascii="宋体" w:hAnsi="宋体"/>
          <w:b/>
          <w:sz w:val="52"/>
        </w:rPr>
        <w:t>教学进度表</w:t>
      </w:r>
    </w:p>
    <w:p w14:paraId="6CC96B93">
      <w:pPr>
        <w:jc w:val="center"/>
        <w:rPr>
          <w:rFonts w:ascii="宋体" w:hAnsi="宋体"/>
          <w:sz w:val="10"/>
          <w:szCs w:val="10"/>
        </w:rPr>
      </w:pPr>
    </w:p>
    <w:tbl>
      <w:tblPr>
        <w:tblStyle w:val="4"/>
        <w:tblW w:w="83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4"/>
        <w:gridCol w:w="3547"/>
        <w:gridCol w:w="684"/>
        <w:gridCol w:w="684"/>
        <w:gridCol w:w="684"/>
        <w:gridCol w:w="684"/>
        <w:gridCol w:w="684"/>
        <w:gridCol w:w="945"/>
      </w:tblGrid>
      <w:tr w14:paraId="4C9AB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  <w:jc w:val="center"/>
        </w:trPr>
        <w:tc>
          <w:tcPr>
            <w:tcW w:w="454" w:type="dxa"/>
            <w:vMerge w:val="restart"/>
            <w:tcBorders>
              <w:right w:val="single" w:color="000000" w:sz="4" w:space="0"/>
            </w:tcBorders>
            <w:vAlign w:val="center"/>
          </w:tcPr>
          <w:p w14:paraId="479FA66F">
            <w:pPr>
              <w:spacing w:line="260" w:lineRule="exact"/>
              <w:jc w:val="center"/>
            </w:pPr>
          </w:p>
          <w:p w14:paraId="7210B283">
            <w:pPr>
              <w:spacing w:line="260" w:lineRule="exact"/>
              <w:jc w:val="center"/>
            </w:pPr>
            <w:r>
              <w:rPr>
                <w:rFonts w:hint="eastAsia"/>
              </w:rPr>
              <w:t>周</w:t>
            </w:r>
          </w:p>
          <w:p w14:paraId="5B85CE83">
            <w:pPr>
              <w:spacing w:line="260" w:lineRule="exact"/>
              <w:jc w:val="center"/>
            </w:pPr>
          </w:p>
          <w:p w14:paraId="5377165F">
            <w:pPr>
              <w:spacing w:line="260" w:lineRule="exact"/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3547" w:type="dxa"/>
            <w:vMerge w:val="restart"/>
            <w:tcBorders>
              <w:left w:val="single" w:color="000000" w:sz="4" w:space="0"/>
            </w:tcBorders>
            <w:vAlign w:val="center"/>
          </w:tcPr>
          <w:p w14:paraId="05B437F8">
            <w:pPr>
              <w:jc w:val="center"/>
            </w:pPr>
            <w:r>
              <w:rPr>
                <w:rFonts w:hint="eastAsia"/>
              </w:rPr>
              <w:t>计划进度</w:t>
            </w:r>
          </w:p>
        </w:tc>
        <w:tc>
          <w:tcPr>
            <w:tcW w:w="3420" w:type="dxa"/>
            <w:gridSpan w:val="5"/>
            <w:tcBorders>
              <w:bottom w:val="single" w:color="000000" w:sz="4" w:space="0"/>
            </w:tcBorders>
            <w:vAlign w:val="center"/>
          </w:tcPr>
          <w:p w14:paraId="5A67B73D">
            <w:pPr>
              <w:jc w:val="center"/>
            </w:pPr>
            <w:r>
              <w:rPr>
                <w:rFonts w:hint="eastAsia"/>
              </w:rPr>
              <w:t>课时分配</w:t>
            </w:r>
          </w:p>
        </w:tc>
        <w:tc>
          <w:tcPr>
            <w:tcW w:w="945" w:type="dxa"/>
            <w:vMerge w:val="restart"/>
            <w:vAlign w:val="center"/>
          </w:tcPr>
          <w:p w14:paraId="2EE81E78">
            <w:pPr>
              <w:jc w:val="center"/>
            </w:pPr>
            <w:r>
              <w:rPr>
                <w:rFonts w:hint="eastAsia"/>
              </w:rPr>
              <w:t>备      注</w:t>
            </w:r>
          </w:p>
        </w:tc>
      </w:tr>
      <w:tr w14:paraId="6786C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atLeast"/>
          <w:jc w:val="center"/>
        </w:trPr>
        <w:tc>
          <w:tcPr>
            <w:tcW w:w="454" w:type="dxa"/>
            <w:vMerge w:val="continue"/>
            <w:tcBorders>
              <w:right w:val="single" w:color="000000" w:sz="4" w:space="0"/>
            </w:tcBorders>
            <w:vAlign w:val="center"/>
          </w:tcPr>
          <w:p w14:paraId="117A2035">
            <w:pPr>
              <w:jc w:val="center"/>
            </w:pPr>
          </w:p>
        </w:tc>
        <w:tc>
          <w:tcPr>
            <w:tcW w:w="3547" w:type="dxa"/>
            <w:vMerge w:val="continue"/>
            <w:tcBorders>
              <w:left w:val="single" w:color="000000" w:sz="4" w:space="0"/>
            </w:tcBorders>
            <w:vAlign w:val="center"/>
          </w:tcPr>
          <w:p w14:paraId="392CD6D7">
            <w:pPr>
              <w:widowControl/>
              <w:jc w:val="center"/>
            </w:pPr>
          </w:p>
        </w:tc>
        <w:tc>
          <w:tcPr>
            <w:tcW w:w="684" w:type="dxa"/>
            <w:tcBorders>
              <w:top w:val="single" w:color="000000" w:sz="4" w:space="0"/>
            </w:tcBorders>
            <w:vAlign w:val="center"/>
          </w:tcPr>
          <w:p w14:paraId="58A7DC40">
            <w:pPr>
              <w:spacing w:line="260" w:lineRule="exact"/>
              <w:jc w:val="center"/>
            </w:pPr>
            <w:r>
              <w:rPr>
                <w:rFonts w:hint="eastAsia"/>
              </w:rPr>
              <w:t>讲</w:t>
            </w:r>
          </w:p>
          <w:p w14:paraId="749BF938">
            <w:pPr>
              <w:spacing w:line="260" w:lineRule="exact"/>
              <w:jc w:val="center"/>
            </w:pPr>
            <w:r>
              <w:rPr>
                <w:rFonts w:hint="eastAsia"/>
              </w:rPr>
              <w:t>授</w:t>
            </w:r>
          </w:p>
          <w:p w14:paraId="18714626">
            <w:pPr>
              <w:spacing w:line="260" w:lineRule="exact"/>
              <w:jc w:val="center"/>
            </w:pPr>
            <w:r>
              <w:rPr>
                <w:rFonts w:hint="eastAsia"/>
              </w:rPr>
              <w:t>课</w:t>
            </w:r>
          </w:p>
        </w:tc>
        <w:tc>
          <w:tcPr>
            <w:tcW w:w="684" w:type="dxa"/>
            <w:tcBorders>
              <w:top w:val="single" w:color="000000" w:sz="4" w:space="0"/>
            </w:tcBorders>
            <w:vAlign w:val="center"/>
          </w:tcPr>
          <w:p w14:paraId="58366BFD">
            <w:pPr>
              <w:spacing w:line="260" w:lineRule="exact"/>
              <w:jc w:val="center"/>
            </w:pPr>
            <w:r>
              <w:rPr>
                <w:rFonts w:hint="eastAsia"/>
              </w:rPr>
              <w:t>习</w:t>
            </w:r>
          </w:p>
          <w:p w14:paraId="1E5A47B6">
            <w:pPr>
              <w:spacing w:line="260" w:lineRule="exact"/>
              <w:jc w:val="center"/>
            </w:pPr>
            <w:r>
              <w:rPr>
                <w:rFonts w:hint="eastAsia"/>
              </w:rPr>
              <w:t>题</w:t>
            </w:r>
          </w:p>
          <w:p w14:paraId="2FA3F535">
            <w:pPr>
              <w:spacing w:line="260" w:lineRule="exact"/>
              <w:jc w:val="center"/>
            </w:pPr>
            <w:r>
              <w:rPr>
                <w:rFonts w:hint="eastAsia"/>
              </w:rPr>
              <w:t>课</w:t>
            </w:r>
          </w:p>
        </w:tc>
        <w:tc>
          <w:tcPr>
            <w:tcW w:w="684" w:type="dxa"/>
            <w:tcBorders>
              <w:top w:val="single" w:color="000000" w:sz="4" w:space="0"/>
            </w:tcBorders>
            <w:vAlign w:val="center"/>
          </w:tcPr>
          <w:p w14:paraId="49BC2CEB">
            <w:pPr>
              <w:spacing w:line="260" w:lineRule="exact"/>
              <w:jc w:val="center"/>
            </w:pPr>
            <w:r>
              <w:rPr>
                <w:rFonts w:hint="eastAsia"/>
              </w:rPr>
              <w:t>课</w:t>
            </w:r>
          </w:p>
          <w:p w14:paraId="5A67490B">
            <w:pPr>
              <w:spacing w:line="260" w:lineRule="exact"/>
              <w:jc w:val="center"/>
            </w:pPr>
            <w:r>
              <w:rPr>
                <w:rFonts w:hint="eastAsia"/>
              </w:rPr>
              <w:t>堂</w:t>
            </w:r>
          </w:p>
          <w:p w14:paraId="70F7B132">
            <w:pPr>
              <w:spacing w:line="260" w:lineRule="exact"/>
              <w:jc w:val="center"/>
            </w:pPr>
            <w:r>
              <w:rPr>
                <w:rFonts w:hint="eastAsia"/>
              </w:rPr>
              <w:t>讨</w:t>
            </w:r>
          </w:p>
          <w:p w14:paraId="10059F69">
            <w:pPr>
              <w:spacing w:line="260" w:lineRule="exact"/>
              <w:jc w:val="center"/>
            </w:pPr>
            <w:r>
              <w:rPr>
                <w:rFonts w:hint="eastAsia"/>
              </w:rPr>
              <w:t>论</w:t>
            </w:r>
          </w:p>
        </w:tc>
        <w:tc>
          <w:tcPr>
            <w:tcW w:w="684" w:type="dxa"/>
            <w:tcBorders>
              <w:top w:val="single" w:color="000000" w:sz="4" w:space="0"/>
            </w:tcBorders>
            <w:vAlign w:val="center"/>
          </w:tcPr>
          <w:p w14:paraId="7EAE6618">
            <w:pPr>
              <w:spacing w:line="260" w:lineRule="exact"/>
              <w:jc w:val="center"/>
            </w:pPr>
            <w:r>
              <w:rPr>
                <w:rFonts w:hint="eastAsia"/>
              </w:rPr>
              <w:t>实践教学</w:t>
            </w:r>
          </w:p>
        </w:tc>
        <w:tc>
          <w:tcPr>
            <w:tcW w:w="684" w:type="dxa"/>
            <w:tcBorders>
              <w:top w:val="single" w:color="000000" w:sz="4" w:space="0"/>
            </w:tcBorders>
            <w:vAlign w:val="center"/>
          </w:tcPr>
          <w:p w14:paraId="695BE3BD">
            <w:pPr>
              <w:spacing w:line="260" w:lineRule="exact"/>
              <w:jc w:val="center"/>
            </w:pPr>
            <w:r>
              <w:rPr>
                <w:rFonts w:hint="eastAsia"/>
              </w:rPr>
              <w:t>作</w:t>
            </w:r>
          </w:p>
          <w:p w14:paraId="4B6D486B">
            <w:pPr>
              <w:spacing w:line="260" w:lineRule="exact"/>
              <w:jc w:val="center"/>
            </w:pPr>
            <w:r>
              <w:rPr>
                <w:rFonts w:hint="eastAsia"/>
              </w:rPr>
              <w:t>业</w:t>
            </w:r>
          </w:p>
          <w:p w14:paraId="0429C6B4">
            <w:pPr>
              <w:spacing w:line="260" w:lineRule="exact"/>
              <w:jc w:val="center"/>
            </w:pPr>
            <w:r>
              <w:rPr>
                <w:rFonts w:hint="eastAsia"/>
              </w:rPr>
              <w:t>形</w:t>
            </w:r>
          </w:p>
          <w:p w14:paraId="4243804A">
            <w:pPr>
              <w:spacing w:line="260" w:lineRule="exact"/>
              <w:jc w:val="center"/>
            </w:pPr>
            <w:r>
              <w:rPr>
                <w:rFonts w:hint="eastAsia"/>
              </w:rPr>
              <w:t>式</w:t>
            </w:r>
          </w:p>
        </w:tc>
        <w:tc>
          <w:tcPr>
            <w:tcW w:w="945" w:type="dxa"/>
            <w:vMerge w:val="continue"/>
            <w:vAlign w:val="center"/>
          </w:tcPr>
          <w:p w14:paraId="2042231A"/>
        </w:tc>
      </w:tr>
      <w:tr w14:paraId="2AD17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 w14:paraId="21F775E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 w14:paraId="09A976DC">
            <w:r>
              <w:rPr>
                <w:rFonts w:hint="eastAsia"/>
              </w:rPr>
              <w:t xml:space="preserve">第一章 </w:t>
            </w:r>
            <w:r>
              <w:rPr>
                <w:rFonts w:hint="eastAsia"/>
                <w:lang w:eastAsia="zh-CN"/>
              </w:rPr>
              <w:t>导论</w:t>
            </w:r>
          </w:p>
          <w:p w14:paraId="6DA04CF2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 xml:space="preserve">第一节 </w:t>
            </w:r>
            <w:r>
              <w:rPr>
                <w:rFonts w:hint="eastAsia"/>
                <w:lang w:eastAsia="zh-CN"/>
              </w:rPr>
              <w:t>什么是计量经济学</w:t>
            </w:r>
          </w:p>
          <w:p w14:paraId="0930EA58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 xml:space="preserve">第二节 </w:t>
            </w:r>
            <w:r>
              <w:rPr>
                <w:rFonts w:hint="eastAsia"/>
                <w:lang w:eastAsia="zh-CN"/>
              </w:rPr>
              <w:t>计量经济学的研究步骤</w:t>
            </w:r>
          </w:p>
          <w:p w14:paraId="4819D646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第三节</w:t>
            </w:r>
            <w:r>
              <w:rPr>
                <w:rFonts w:hint="eastAsia"/>
                <w:lang w:val="en-US" w:eastAsia="zh-CN"/>
              </w:rPr>
              <w:t xml:space="preserve"> 变量、参数、数据与模型</w:t>
            </w:r>
          </w:p>
          <w:p w14:paraId="7E0A958B"/>
        </w:tc>
        <w:tc>
          <w:tcPr>
            <w:tcW w:w="684" w:type="dxa"/>
            <w:vAlign w:val="center"/>
          </w:tcPr>
          <w:p w14:paraId="4AA5A41F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84" w:type="dxa"/>
            <w:vAlign w:val="center"/>
          </w:tcPr>
          <w:p w14:paraId="50DEF2C0">
            <w:pPr>
              <w:jc w:val="center"/>
            </w:pPr>
          </w:p>
        </w:tc>
        <w:tc>
          <w:tcPr>
            <w:tcW w:w="684" w:type="dxa"/>
            <w:vAlign w:val="center"/>
          </w:tcPr>
          <w:p w14:paraId="12C062A7">
            <w:pPr>
              <w:jc w:val="center"/>
            </w:pPr>
          </w:p>
        </w:tc>
        <w:tc>
          <w:tcPr>
            <w:tcW w:w="684" w:type="dxa"/>
            <w:vAlign w:val="center"/>
          </w:tcPr>
          <w:p w14:paraId="4A453833">
            <w:pPr>
              <w:jc w:val="center"/>
            </w:pPr>
          </w:p>
        </w:tc>
        <w:tc>
          <w:tcPr>
            <w:tcW w:w="684" w:type="dxa"/>
            <w:vAlign w:val="center"/>
          </w:tcPr>
          <w:p w14:paraId="701CD1CC">
            <w:pPr>
              <w:jc w:val="center"/>
            </w:pPr>
            <w:r>
              <w:rPr>
                <w:rFonts w:hint="eastAsia"/>
              </w:rPr>
              <w:t>课堂练习+</w:t>
            </w:r>
          </w:p>
          <w:p w14:paraId="2AE6627B"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 w14:paraId="0A0D763B">
            <w:pPr>
              <w:ind w:firstLine="105" w:firstLineChars="50"/>
            </w:pPr>
          </w:p>
        </w:tc>
      </w:tr>
      <w:tr w14:paraId="133B6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 w14:paraId="1051E01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 w14:paraId="72CBD73E">
            <w:r>
              <w:rPr>
                <w:rFonts w:hint="eastAsia"/>
              </w:rPr>
              <w:t xml:space="preserve">第二章 </w:t>
            </w:r>
            <w:r>
              <w:rPr>
                <w:rFonts w:hint="eastAsia"/>
                <w:lang w:eastAsia="zh-CN"/>
              </w:rPr>
              <w:t>简单线性回归</w:t>
            </w:r>
            <w:r>
              <w:rPr>
                <w:rFonts w:hint="eastAsia"/>
              </w:rPr>
              <w:t>模型</w:t>
            </w:r>
          </w:p>
          <w:p w14:paraId="543D97D0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 xml:space="preserve">第一节 </w:t>
            </w:r>
            <w:r>
              <w:rPr>
                <w:rFonts w:hint="eastAsia"/>
                <w:lang w:eastAsia="zh-CN"/>
              </w:rPr>
              <w:t>回归分析与回归函数</w:t>
            </w:r>
          </w:p>
          <w:p w14:paraId="4DCEFF50">
            <w:pPr>
              <w:rPr>
                <w:bCs/>
                <w:szCs w:val="21"/>
              </w:rPr>
            </w:pPr>
            <w:r>
              <w:rPr>
                <w:rFonts w:hint="eastAsia"/>
              </w:rPr>
              <w:t xml:space="preserve">第二节 </w:t>
            </w:r>
            <w:r>
              <w:rPr>
                <w:rFonts w:hint="eastAsia"/>
                <w:lang w:eastAsia="zh-CN"/>
              </w:rPr>
              <w:t>简单线性回归</w:t>
            </w:r>
            <w:r>
              <w:rPr>
                <w:rFonts w:hint="eastAsia"/>
              </w:rPr>
              <w:t>模型</w:t>
            </w:r>
            <w:r>
              <w:rPr>
                <w:rFonts w:hint="eastAsia"/>
                <w:lang w:eastAsia="zh-CN"/>
              </w:rPr>
              <w:t>参数的估计</w:t>
            </w:r>
          </w:p>
        </w:tc>
        <w:tc>
          <w:tcPr>
            <w:tcW w:w="684" w:type="dxa"/>
            <w:vAlign w:val="center"/>
          </w:tcPr>
          <w:p w14:paraId="2B4F0453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84" w:type="dxa"/>
            <w:vAlign w:val="center"/>
          </w:tcPr>
          <w:p w14:paraId="014C4257"/>
        </w:tc>
        <w:tc>
          <w:tcPr>
            <w:tcW w:w="684" w:type="dxa"/>
            <w:vAlign w:val="center"/>
          </w:tcPr>
          <w:p w14:paraId="712DEDD5">
            <w:pPr>
              <w:jc w:val="center"/>
            </w:pPr>
          </w:p>
        </w:tc>
        <w:tc>
          <w:tcPr>
            <w:tcW w:w="684" w:type="dxa"/>
            <w:vAlign w:val="center"/>
          </w:tcPr>
          <w:p w14:paraId="7F6FCA66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84" w:type="dxa"/>
            <w:vAlign w:val="center"/>
          </w:tcPr>
          <w:p w14:paraId="723217A0">
            <w:pPr>
              <w:jc w:val="center"/>
            </w:pPr>
            <w:r>
              <w:rPr>
                <w:rFonts w:hint="eastAsia"/>
              </w:rPr>
              <w:t>课堂练习+</w:t>
            </w:r>
          </w:p>
          <w:p w14:paraId="43B8FBC3"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 w14:paraId="5F135CB0"/>
        </w:tc>
      </w:tr>
      <w:tr w14:paraId="15749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 w14:paraId="35BEA8D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 w14:paraId="3D1681D2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第三节</w:t>
            </w:r>
            <w:r>
              <w:rPr>
                <w:rFonts w:hint="eastAsia"/>
                <w:lang w:val="en-US" w:eastAsia="zh-CN"/>
              </w:rPr>
              <w:t xml:space="preserve"> 拟合优度的度量</w:t>
            </w:r>
          </w:p>
          <w:p w14:paraId="5C5FBFF1">
            <w:r>
              <w:rPr>
                <w:rFonts w:hint="eastAsia"/>
                <w:lang w:val="en-US" w:eastAsia="zh-CN"/>
              </w:rPr>
              <w:t>第四节 回归系数的假设检验和区间估计</w:t>
            </w:r>
          </w:p>
        </w:tc>
        <w:tc>
          <w:tcPr>
            <w:tcW w:w="684" w:type="dxa"/>
            <w:vAlign w:val="center"/>
          </w:tcPr>
          <w:p w14:paraId="512126D0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84" w:type="dxa"/>
            <w:vAlign w:val="center"/>
          </w:tcPr>
          <w:p w14:paraId="4698E1B5"/>
        </w:tc>
        <w:tc>
          <w:tcPr>
            <w:tcW w:w="684" w:type="dxa"/>
            <w:vAlign w:val="center"/>
          </w:tcPr>
          <w:p w14:paraId="3B83ADD2">
            <w:pPr>
              <w:jc w:val="center"/>
            </w:pPr>
          </w:p>
        </w:tc>
        <w:tc>
          <w:tcPr>
            <w:tcW w:w="684" w:type="dxa"/>
            <w:vAlign w:val="center"/>
          </w:tcPr>
          <w:p w14:paraId="1DB8EFD8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84" w:type="dxa"/>
            <w:vAlign w:val="center"/>
          </w:tcPr>
          <w:p w14:paraId="231AE142">
            <w:pPr>
              <w:jc w:val="center"/>
            </w:pPr>
            <w:r>
              <w:rPr>
                <w:rFonts w:hint="eastAsia"/>
              </w:rPr>
              <w:t>课堂练习+</w:t>
            </w:r>
          </w:p>
          <w:p w14:paraId="35AF1A1D"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 w14:paraId="6A0B6412"/>
        </w:tc>
      </w:tr>
      <w:tr w14:paraId="2E19A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 w14:paraId="6F989A1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 w14:paraId="317A7840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第五节 回归模型的预测</w:t>
            </w:r>
          </w:p>
          <w:p w14:paraId="1D54C53D">
            <w:r>
              <w:rPr>
                <w:rFonts w:hint="eastAsia"/>
              </w:rPr>
              <w:t xml:space="preserve">第三章 </w:t>
            </w:r>
            <w:r>
              <w:rPr>
                <w:rFonts w:hint="eastAsia"/>
                <w:lang w:eastAsia="zh-CN"/>
              </w:rPr>
              <w:t>多元线性回归模型</w:t>
            </w:r>
          </w:p>
          <w:p w14:paraId="5E7331D3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 xml:space="preserve">第一节 </w:t>
            </w:r>
            <w:r>
              <w:rPr>
                <w:rFonts w:hint="eastAsia"/>
                <w:lang w:eastAsia="zh-CN"/>
              </w:rPr>
              <w:t>多元线性回归模型及古典假定</w:t>
            </w:r>
          </w:p>
          <w:p w14:paraId="423267FB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eastAsia="zh-CN"/>
              </w:rPr>
              <w:t>二</w:t>
            </w:r>
            <w:r>
              <w:rPr>
                <w:rFonts w:hint="eastAsia"/>
              </w:rPr>
              <w:t xml:space="preserve">节 </w:t>
            </w:r>
            <w:r>
              <w:rPr>
                <w:rFonts w:hint="eastAsia"/>
                <w:lang w:eastAsia="zh-CN"/>
              </w:rPr>
              <w:t>多元线性回归模型的估计</w:t>
            </w:r>
          </w:p>
          <w:p w14:paraId="48F074B9">
            <w:pPr>
              <w:pStyle w:val="2"/>
              <w:spacing w:line="360" w:lineRule="auto"/>
              <w:ind w:right="6" w:firstLine="480" w:firstLineChars="2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84" w:type="dxa"/>
            <w:vAlign w:val="center"/>
          </w:tcPr>
          <w:p w14:paraId="74AF40F4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84" w:type="dxa"/>
            <w:vAlign w:val="center"/>
          </w:tcPr>
          <w:p w14:paraId="146D7BB1"/>
        </w:tc>
        <w:tc>
          <w:tcPr>
            <w:tcW w:w="684" w:type="dxa"/>
            <w:vAlign w:val="center"/>
          </w:tcPr>
          <w:p w14:paraId="0DD1CBB3">
            <w:pPr>
              <w:jc w:val="center"/>
            </w:pPr>
          </w:p>
        </w:tc>
        <w:tc>
          <w:tcPr>
            <w:tcW w:w="684" w:type="dxa"/>
            <w:vAlign w:val="center"/>
          </w:tcPr>
          <w:p w14:paraId="6405FF27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84" w:type="dxa"/>
            <w:vAlign w:val="center"/>
          </w:tcPr>
          <w:p w14:paraId="06C46C7F">
            <w:pPr>
              <w:jc w:val="center"/>
            </w:pPr>
            <w:r>
              <w:rPr>
                <w:rFonts w:hint="eastAsia"/>
              </w:rPr>
              <w:t>课堂练习+</w:t>
            </w:r>
          </w:p>
          <w:p w14:paraId="0FBB7D26"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 w14:paraId="3910161D">
            <w:pPr>
              <w:ind w:firstLine="105" w:firstLineChars="50"/>
            </w:pPr>
          </w:p>
        </w:tc>
      </w:tr>
      <w:tr w14:paraId="0D4E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 w14:paraId="7F34885B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 w14:paraId="39CCF1AE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eastAsia="zh-CN"/>
              </w:rPr>
              <w:t>三</w:t>
            </w:r>
            <w:r>
              <w:rPr>
                <w:rFonts w:hint="eastAsia"/>
              </w:rPr>
              <w:t xml:space="preserve">节 </w:t>
            </w:r>
            <w:r>
              <w:rPr>
                <w:rFonts w:hint="eastAsia"/>
                <w:lang w:eastAsia="zh-CN"/>
              </w:rPr>
              <w:t>多元线性回归模型的假设检验和区间估计</w:t>
            </w:r>
          </w:p>
          <w:p w14:paraId="64563B44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eastAsia="zh-CN"/>
              </w:rPr>
              <w:t>四</w:t>
            </w:r>
            <w:r>
              <w:rPr>
                <w:rFonts w:hint="eastAsia"/>
              </w:rPr>
              <w:t xml:space="preserve">节 </w:t>
            </w:r>
            <w:r>
              <w:rPr>
                <w:rFonts w:hint="eastAsia"/>
                <w:lang w:eastAsia="zh-CN"/>
              </w:rPr>
              <w:t>多元线性回归模型的预测</w:t>
            </w:r>
          </w:p>
          <w:p w14:paraId="6796776C">
            <w:pPr>
              <w:pStyle w:val="2"/>
              <w:spacing w:line="360" w:lineRule="auto"/>
              <w:ind w:right="6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84" w:type="dxa"/>
            <w:vAlign w:val="center"/>
          </w:tcPr>
          <w:p w14:paraId="6011275A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84" w:type="dxa"/>
            <w:vAlign w:val="center"/>
          </w:tcPr>
          <w:p w14:paraId="1F84C642"/>
        </w:tc>
        <w:tc>
          <w:tcPr>
            <w:tcW w:w="684" w:type="dxa"/>
            <w:vAlign w:val="center"/>
          </w:tcPr>
          <w:p w14:paraId="6EE9E610">
            <w:pPr>
              <w:jc w:val="center"/>
            </w:pPr>
          </w:p>
        </w:tc>
        <w:tc>
          <w:tcPr>
            <w:tcW w:w="684" w:type="dxa"/>
            <w:vAlign w:val="center"/>
          </w:tcPr>
          <w:p w14:paraId="266EB10C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84" w:type="dxa"/>
            <w:vAlign w:val="center"/>
          </w:tcPr>
          <w:p w14:paraId="5FFAADB6">
            <w:pPr>
              <w:jc w:val="center"/>
            </w:pPr>
            <w:r>
              <w:rPr>
                <w:rFonts w:hint="eastAsia"/>
              </w:rPr>
              <w:t>课堂练习+</w:t>
            </w:r>
          </w:p>
          <w:p w14:paraId="0A24ACE9"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 w14:paraId="3FA31BCA">
            <w:pPr>
              <w:ind w:firstLine="105" w:firstLineChars="50"/>
            </w:pPr>
          </w:p>
        </w:tc>
      </w:tr>
      <w:tr w14:paraId="7D161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 w14:paraId="0B04C911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 w14:paraId="62E79997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第四章 多重共线性</w:t>
            </w:r>
          </w:p>
          <w:p w14:paraId="729B76BF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 什么是多重共线性</w:t>
            </w:r>
          </w:p>
          <w:p w14:paraId="58148400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第二节</w:t>
            </w:r>
            <w:r>
              <w:rPr>
                <w:rFonts w:hint="eastAsia"/>
                <w:lang w:val="en-US" w:eastAsia="zh-CN"/>
              </w:rPr>
              <w:t xml:space="preserve"> 多重共线性产生的后果</w:t>
            </w:r>
          </w:p>
          <w:p w14:paraId="7A994570">
            <w:pPr>
              <w:rPr>
                <w:rFonts w:hint="eastAsia"/>
                <w:lang w:eastAsia="zh-CN"/>
              </w:rPr>
            </w:pPr>
          </w:p>
        </w:tc>
        <w:tc>
          <w:tcPr>
            <w:tcW w:w="684" w:type="dxa"/>
            <w:vAlign w:val="center"/>
          </w:tcPr>
          <w:p w14:paraId="0F0009D9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84" w:type="dxa"/>
            <w:vAlign w:val="center"/>
          </w:tcPr>
          <w:p w14:paraId="33F4D165"/>
        </w:tc>
        <w:tc>
          <w:tcPr>
            <w:tcW w:w="684" w:type="dxa"/>
            <w:vAlign w:val="center"/>
          </w:tcPr>
          <w:p w14:paraId="032E526B">
            <w:pPr>
              <w:jc w:val="center"/>
            </w:pPr>
          </w:p>
        </w:tc>
        <w:tc>
          <w:tcPr>
            <w:tcW w:w="684" w:type="dxa"/>
            <w:vAlign w:val="center"/>
          </w:tcPr>
          <w:p w14:paraId="2777A671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84" w:type="dxa"/>
            <w:vAlign w:val="center"/>
          </w:tcPr>
          <w:p w14:paraId="0BC0F66A">
            <w:pPr>
              <w:jc w:val="center"/>
            </w:pPr>
            <w:r>
              <w:rPr>
                <w:rFonts w:hint="eastAsia"/>
              </w:rPr>
              <w:t>课堂练习+</w:t>
            </w:r>
          </w:p>
          <w:p w14:paraId="3DF2B781"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 w14:paraId="3BF32FC6"/>
        </w:tc>
      </w:tr>
      <w:tr w14:paraId="405F5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 w14:paraId="073742A3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 w14:paraId="320F43F2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第三节 多重共线性的检验</w:t>
            </w:r>
          </w:p>
          <w:p w14:paraId="2567CDC4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第四节 多重共线性的补救措施</w:t>
            </w:r>
          </w:p>
          <w:p w14:paraId="7F7E9342">
            <w:pPr>
              <w:rPr>
                <w:rFonts w:hint="eastAsia"/>
                <w:lang w:eastAsia="zh-CN"/>
              </w:rPr>
            </w:pPr>
          </w:p>
        </w:tc>
        <w:tc>
          <w:tcPr>
            <w:tcW w:w="684" w:type="dxa"/>
            <w:vAlign w:val="center"/>
          </w:tcPr>
          <w:p w14:paraId="52504694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84" w:type="dxa"/>
            <w:vAlign w:val="center"/>
          </w:tcPr>
          <w:p w14:paraId="7F643614"/>
        </w:tc>
        <w:tc>
          <w:tcPr>
            <w:tcW w:w="684" w:type="dxa"/>
            <w:vAlign w:val="center"/>
          </w:tcPr>
          <w:p w14:paraId="4C0FFD57">
            <w:pPr>
              <w:jc w:val="center"/>
            </w:pPr>
          </w:p>
        </w:tc>
        <w:tc>
          <w:tcPr>
            <w:tcW w:w="684" w:type="dxa"/>
            <w:vAlign w:val="center"/>
          </w:tcPr>
          <w:p w14:paraId="1DDC9BF8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84" w:type="dxa"/>
            <w:vAlign w:val="center"/>
          </w:tcPr>
          <w:p w14:paraId="1245991F">
            <w:pPr>
              <w:jc w:val="center"/>
            </w:pPr>
            <w:r>
              <w:rPr>
                <w:rFonts w:hint="eastAsia"/>
              </w:rPr>
              <w:t>课堂练习+</w:t>
            </w:r>
          </w:p>
          <w:p w14:paraId="7804D266"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 w14:paraId="5372E747"/>
        </w:tc>
      </w:tr>
      <w:tr w14:paraId="758BE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 w14:paraId="786D49F3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 w14:paraId="0A98EDBE">
            <w:pPr>
              <w:numPr>
                <w:ilvl w:val="0"/>
                <w:numId w:val="2"/>
              </w:num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异方差性</w:t>
            </w:r>
          </w:p>
          <w:p w14:paraId="5F7FDE88">
            <w:pPr>
              <w:numPr>
                <w:ilvl w:val="0"/>
                <w:numId w:val="0"/>
              </w:num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 异方差性的概念</w:t>
            </w:r>
          </w:p>
          <w:p w14:paraId="7C89CC13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第二节</w:t>
            </w:r>
            <w:r>
              <w:rPr>
                <w:rFonts w:hint="eastAsia"/>
                <w:lang w:val="en-US" w:eastAsia="zh-CN"/>
              </w:rPr>
              <w:t xml:space="preserve"> 异方差性产生的后果</w:t>
            </w:r>
          </w:p>
          <w:p w14:paraId="1671FFA5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第三节 异方差性的检验</w:t>
            </w:r>
          </w:p>
          <w:p w14:paraId="73A3F310">
            <w:pPr>
              <w:rPr>
                <w:rFonts w:hint="default"/>
                <w:lang w:val="en-US" w:eastAsia="zh-CN"/>
              </w:rPr>
            </w:pPr>
          </w:p>
          <w:p w14:paraId="2E7C272A">
            <w:pPr>
              <w:rPr>
                <w:rFonts w:hint="eastAsia"/>
                <w:lang w:eastAsia="zh-CN"/>
              </w:rPr>
            </w:pPr>
          </w:p>
        </w:tc>
        <w:tc>
          <w:tcPr>
            <w:tcW w:w="684" w:type="dxa"/>
            <w:vAlign w:val="center"/>
          </w:tcPr>
          <w:p w14:paraId="7626787E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84" w:type="dxa"/>
            <w:vAlign w:val="center"/>
          </w:tcPr>
          <w:p w14:paraId="50DBC7E3"/>
        </w:tc>
        <w:tc>
          <w:tcPr>
            <w:tcW w:w="684" w:type="dxa"/>
            <w:vAlign w:val="center"/>
          </w:tcPr>
          <w:p w14:paraId="7A75FDD4">
            <w:pPr>
              <w:jc w:val="center"/>
            </w:pPr>
          </w:p>
        </w:tc>
        <w:tc>
          <w:tcPr>
            <w:tcW w:w="684" w:type="dxa"/>
            <w:vAlign w:val="center"/>
          </w:tcPr>
          <w:p w14:paraId="10F856AB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84" w:type="dxa"/>
            <w:vAlign w:val="center"/>
          </w:tcPr>
          <w:p w14:paraId="37AC2A7E">
            <w:pPr>
              <w:jc w:val="center"/>
            </w:pPr>
            <w:r>
              <w:rPr>
                <w:rFonts w:hint="eastAsia"/>
              </w:rPr>
              <w:t>课堂练习+</w:t>
            </w:r>
          </w:p>
          <w:p w14:paraId="66308339"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 w14:paraId="2E3E4E38"/>
        </w:tc>
      </w:tr>
      <w:tr w14:paraId="516BC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 w14:paraId="2377745C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 w14:paraId="3C04CB09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第四节 异方差性的补救措施</w:t>
            </w:r>
          </w:p>
          <w:p w14:paraId="666D66D0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第六章 自相关</w:t>
            </w:r>
          </w:p>
          <w:p w14:paraId="433AADF5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 自相关的概念</w:t>
            </w:r>
          </w:p>
          <w:p w14:paraId="0BB1640D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第二节</w:t>
            </w:r>
            <w:r>
              <w:rPr>
                <w:rFonts w:hint="eastAsia"/>
                <w:lang w:val="en-US" w:eastAsia="zh-CN"/>
              </w:rPr>
              <w:t xml:space="preserve"> 自相关产生的后果</w:t>
            </w:r>
          </w:p>
          <w:p w14:paraId="3B4BF903">
            <w:pPr>
              <w:rPr>
                <w:rFonts w:hint="eastAsia"/>
                <w:lang w:eastAsia="zh-CN"/>
              </w:rPr>
            </w:pPr>
          </w:p>
        </w:tc>
        <w:tc>
          <w:tcPr>
            <w:tcW w:w="684" w:type="dxa"/>
            <w:vAlign w:val="center"/>
          </w:tcPr>
          <w:p w14:paraId="565F3D7B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84" w:type="dxa"/>
            <w:vAlign w:val="center"/>
          </w:tcPr>
          <w:p w14:paraId="4500C6D5"/>
        </w:tc>
        <w:tc>
          <w:tcPr>
            <w:tcW w:w="684" w:type="dxa"/>
            <w:vAlign w:val="center"/>
          </w:tcPr>
          <w:p w14:paraId="6D13A3CD">
            <w:pPr>
              <w:jc w:val="center"/>
            </w:pPr>
          </w:p>
        </w:tc>
        <w:tc>
          <w:tcPr>
            <w:tcW w:w="684" w:type="dxa"/>
            <w:vAlign w:val="center"/>
          </w:tcPr>
          <w:p w14:paraId="272EA833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84" w:type="dxa"/>
            <w:vAlign w:val="center"/>
          </w:tcPr>
          <w:p w14:paraId="2DB08D35">
            <w:pPr>
              <w:jc w:val="center"/>
            </w:pPr>
            <w:r>
              <w:rPr>
                <w:rFonts w:hint="eastAsia"/>
              </w:rPr>
              <w:t>课堂练习+</w:t>
            </w:r>
          </w:p>
          <w:p w14:paraId="553F7EDE"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 w14:paraId="7D763230"/>
        </w:tc>
      </w:tr>
      <w:tr w14:paraId="38C06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 w14:paraId="256DEFED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 w14:paraId="104F43FE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第三节 自相关的检验</w:t>
            </w:r>
          </w:p>
          <w:p w14:paraId="6B227E39">
            <w:pPr>
              <w:rPr>
                <w:bCs/>
                <w:szCs w:val="21"/>
              </w:rPr>
            </w:pPr>
            <w:r>
              <w:rPr>
                <w:rFonts w:hint="eastAsia"/>
                <w:lang w:val="en-US" w:eastAsia="zh-CN"/>
              </w:rPr>
              <w:t>第四节 自相关的补救措施</w:t>
            </w:r>
          </w:p>
        </w:tc>
        <w:tc>
          <w:tcPr>
            <w:tcW w:w="684" w:type="dxa"/>
            <w:vAlign w:val="center"/>
          </w:tcPr>
          <w:p w14:paraId="64F523F5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84" w:type="dxa"/>
            <w:vAlign w:val="center"/>
          </w:tcPr>
          <w:p w14:paraId="31BFEA68"/>
        </w:tc>
        <w:tc>
          <w:tcPr>
            <w:tcW w:w="684" w:type="dxa"/>
            <w:vAlign w:val="center"/>
          </w:tcPr>
          <w:p w14:paraId="1C0A4051">
            <w:pPr>
              <w:jc w:val="center"/>
            </w:pPr>
          </w:p>
        </w:tc>
        <w:tc>
          <w:tcPr>
            <w:tcW w:w="684" w:type="dxa"/>
            <w:vAlign w:val="center"/>
          </w:tcPr>
          <w:p w14:paraId="247B3E3F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84" w:type="dxa"/>
            <w:vAlign w:val="center"/>
          </w:tcPr>
          <w:p w14:paraId="0D97F3F3">
            <w:pPr>
              <w:jc w:val="center"/>
            </w:pPr>
            <w:r>
              <w:rPr>
                <w:rFonts w:hint="eastAsia"/>
              </w:rPr>
              <w:t>课堂练习+</w:t>
            </w:r>
          </w:p>
          <w:p w14:paraId="15F7F0C6"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 w14:paraId="4B49E680"/>
        </w:tc>
      </w:tr>
      <w:tr w14:paraId="36A4E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 w14:paraId="54E6C1F1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 w14:paraId="61496FB6"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第七章 </w:t>
            </w:r>
            <w:r>
              <w:rPr>
                <w:rFonts w:hint="eastAsia"/>
                <w:bCs/>
                <w:szCs w:val="21"/>
                <w:lang w:eastAsia="zh-CN"/>
              </w:rPr>
              <w:t>分布滞后模型与自回归模型</w:t>
            </w:r>
          </w:p>
          <w:p w14:paraId="2ED810AE">
            <w:pPr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eastAsia="zh-CN"/>
              </w:rPr>
              <w:t>第一节</w:t>
            </w:r>
            <w:r>
              <w:rPr>
                <w:rFonts w:hint="eastAsia"/>
                <w:bCs/>
                <w:szCs w:val="21"/>
                <w:lang w:val="en-US" w:eastAsia="zh-CN"/>
              </w:rPr>
              <w:t xml:space="preserve"> 滞后效应和滞后变量模型</w:t>
            </w:r>
          </w:p>
          <w:p w14:paraId="52F47AA3">
            <w:pPr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第二节 分布滞后模型的估计</w:t>
            </w:r>
          </w:p>
          <w:p w14:paraId="76AF1E7E">
            <w:pPr>
              <w:rPr>
                <w:bCs/>
                <w:szCs w:val="21"/>
              </w:rPr>
            </w:pPr>
          </w:p>
        </w:tc>
        <w:tc>
          <w:tcPr>
            <w:tcW w:w="684" w:type="dxa"/>
            <w:vAlign w:val="center"/>
          </w:tcPr>
          <w:p w14:paraId="6A2452A0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84" w:type="dxa"/>
            <w:vAlign w:val="center"/>
          </w:tcPr>
          <w:p w14:paraId="2334FD0B"/>
        </w:tc>
        <w:tc>
          <w:tcPr>
            <w:tcW w:w="684" w:type="dxa"/>
            <w:vAlign w:val="center"/>
          </w:tcPr>
          <w:p w14:paraId="4AE2CCC8">
            <w:pPr>
              <w:jc w:val="center"/>
            </w:pPr>
          </w:p>
        </w:tc>
        <w:tc>
          <w:tcPr>
            <w:tcW w:w="684" w:type="dxa"/>
            <w:vAlign w:val="center"/>
          </w:tcPr>
          <w:p w14:paraId="127FECA4">
            <w:pPr>
              <w:jc w:val="center"/>
            </w:pPr>
          </w:p>
        </w:tc>
        <w:tc>
          <w:tcPr>
            <w:tcW w:w="684" w:type="dxa"/>
            <w:vAlign w:val="center"/>
          </w:tcPr>
          <w:p w14:paraId="45ED3088">
            <w:pPr>
              <w:jc w:val="center"/>
            </w:pPr>
            <w:r>
              <w:rPr>
                <w:rFonts w:hint="eastAsia"/>
              </w:rPr>
              <w:t>课堂练习+</w:t>
            </w:r>
          </w:p>
          <w:p w14:paraId="6F5939F3"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 w14:paraId="1306F1E6"/>
        </w:tc>
      </w:tr>
      <w:tr w14:paraId="6ACF4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 w14:paraId="146D6F1A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 w14:paraId="4FCEC2EA">
            <w:pPr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第三节 自回归模型的构建</w:t>
            </w:r>
          </w:p>
          <w:p w14:paraId="5426F1B3">
            <w:pPr>
              <w:rPr>
                <w:rFonts w:hint="default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第四节 自回归模型的估计</w:t>
            </w:r>
          </w:p>
          <w:p w14:paraId="07DF8E27"/>
        </w:tc>
        <w:tc>
          <w:tcPr>
            <w:tcW w:w="684" w:type="dxa"/>
            <w:vAlign w:val="center"/>
          </w:tcPr>
          <w:p w14:paraId="740B2ADF">
            <w:r>
              <w:rPr>
                <w:rFonts w:hint="eastAsia"/>
              </w:rPr>
              <w:t>3</w:t>
            </w:r>
          </w:p>
        </w:tc>
        <w:tc>
          <w:tcPr>
            <w:tcW w:w="684" w:type="dxa"/>
            <w:vAlign w:val="center"/>
          </w:tcPr>
          <w:p w14:paraId="6D462100"/>
        </w:tc>
        <w:tc>
          <w:tcPr>
            <w:tcW w:w="684" w:type="dxa"/>
            <w:vAlign w:val="center"/>
          </w:tcPr>
          <w:p w14:paraId="7F0E0A66">
            <w:pPr>
              <w:jc w:val="center"/>
            </w:pPr>
          </w:p>
        </w:tc>
        <w:tc>
          <w:tcPr>
            <w:tcW w:w="684" w:type="dxa"/>
            <w:vAlign w:val="center"/>
          </w:tcPr>
          <w:p w14:paraId="429161C6">
            <w:pPr>
              <w:jc w:val="center"/>
            </w:pPr>
          </w:p>
        </w:tc>
        <w:tc>
          <w:tcPr>
            <w:tcW w:w="684" w:type="dxa"/>
            <w:vAlign w:val="center"/>
          </w:tcPr>
          <w:p w14:paraId="0AB595C9">
            <w:pPr>
              <w:jc w:val="center"/>
            </w:pPr>
            <w:r>
              <w:rPr>
                <w:rFonts w:hint="eastAsia"/>
              </w:rPr>
              <w:t>课堂练习+</w:t>
            </w:r>
          </w:p>
          <w:p w14:paraId="1C517CE8"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 w14:paraId="628F1EED"/>
        </w:tc>
      </w:tr>
      <w:tr w14:paraId="023E7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 w14:paraId="4A946791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 w14:paraId="27973B87"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第八章 </w:t>
            </w:r>
            <w:r>
              <w:rPr>
                <w:rFonts w:hint="eastAsia"/>
                <w:bCs/>
                <w:szCs w:val="21"/>
                <w:lang w:eastAsia="zh-CN"/>
              </w:rPr>
              <w:t>虚拟变量回归</w:t>
            </w:r>
          </w:p>
          <w:p w14:paraId="0739B61B">
            <w:pPr>
              <w:rPr>
                <w:rFonts w:hint="eastAsia"/>
                <w:bCs/>
                <w:szCs w:val="21"/>
                <w:lang w:eastAsia="zh-CN"/>
              </w:rPr>
            </w:pPr>
            <w:r>
              <w:rPr>
                <w:rFonts w:hint="eastAsia"/>
                <w:bCs/>
                <w:szCs w:val="21"/>
              </w:rPr>
              <w:t xml:space="preserve">第一节 </w:t>
            </w:r>
            <w:r>
              <w:rPr>
                <w:rFonts w:hint="eastAsia"/>
                <w:bCs/>
                <w:szCs w:val="21"/>
                <w:lang w:eastAsia="zh-CN"/>
              </w:rPr>
              <w:t>虚拟变量的概念</w:t>
            </w:r>
          </w:p>
          <w:p w14:paraId="4A0A1FC0">
            <w:pPr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eastAsia="zh-CN"/>
              </w:rPr>
              <w:t>第二节</w:t>
            </w:r>
            <w:r>
              <w:rPr>
                <w:rFonts w:hint="eastAsia"/>
                <w:bCs/>
                <w:szCs w:val="21"/>
                <w:lang w:val="en-US" w:eastAsia="zh-CN"/>
              </w:rPr>
              <w:t xml:space="preserve"> 虚拟解释变量的回归</w:t>
            </w:r>
          </w:p>
          <w:p w14:paraId="6160C3C0">
            <w:pPr>
              <w:rPr>
                <w:bCs/>
                <w:szCs w:val="21"/>
              </w:rPr>
            </w:pPr>
          </w:p>
        </w:tc>
        <w:tc>
          <w:tcPr>
            <w:tcW w:w="684" w:type="dxa"/>
            <w:vAlign w:val="center"/>
          </w:tcPr>
          <w:p w14:paraId="1C87C8A4">
            <w:r>
              <w:rPr>
                <w:rFonts w:hint="eastAsia"/>
              </w:rPr>
              <w:t>2</w:t>
            </w:r>
          </w:p>
        </w:tc>
        <w:tc>
          <w:tcPr>
            <w:tcW w:w="684" w:type="dxa"/>
            <w:vAlign w:val="center"/>
          </w:tcPr>
          <w:p w14:paraId="056C2F38"/>
        </w:tc>
        <w:tc>
          <w:tcPr>
            <w:tcW w:w="684" w:type="dxa"/>
            <w:vAlign w:val="center"/>
          </w:tcPr>
          <w:p w14:paraId="66F2FFB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684" w:type="dxa"/>
            <w:vAlign w:val="center"/>
          </w:tcPr>
          <w:p w14:paraId="76A8BEAE">
            <w:pPr>
              <w:jc w:val="center"/>
            </w:pPr>
          </w:p>
        </w:tc>
        <w:tc>
          <w:tcPr>
            <w:tcW w:w="684" w:type="dxa"/>
            <w:vAlign w:val="center"/>
          </w:tcPr>
          <w:p w14:paraId="3E886C02">
            <w:pPr>
              <w:jc w:val="center"/>
            </w:pPr>
            <w:r>
              <w:rPr>
                <w:rFonts w:hint="eastAsia"/>
              </w:rPr>
              <w:t>课堂练习+</w:t>
            </w:r>
          </w:p>
          <w:p w14:paraId="1A82F8D0"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 w14:paraId="66FE5689"/>
        </w:tc>
      </w:tr>
      <w:tr w14:paraId="175D5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 w14:paraId="3C32CA32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 w14:paraId="76E7B585">
            <w:pPr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第三节 虚拟被解释变量</w:t>
            </w:r>
          </w:p>
          <w:p w14:paraId="241907F6">
            <w:pPr>
              <w:rPr>
                <w:bCs/>
                <w:szCs w:val="21"/>
              </w:rPr>
            </w:pPr>
          </w:p>
        </w:tc>
        <w:tc>
          <w:tcPr>
            <w:tcW w:w="684" w:type="dxa"/>
            <w:vAlign w:val="center"/>
          </w:tcPr>
          <w:p w14:paraId="6F45B739">
            <w:r>
              <w:rPr>
                <w:rFonts w:hint="eastAsia"/>
              </w:rPr>
              <w:t>2</w:t>
            </w:r>
          </w:p>
        </w:tc>
        <w:tc>
          <w:tcPr>
            <w:tcW w:w="684" w:type="dxa"/>
            <w:vAlign w:val="center"/>
          </w:tcPr>
          <w:p w14:paraId="40DFA164"/>
        </w:tc>
        <w:tc>
          <w:tcPr>
            <w:tcW w:w="684" w:type="dxa"/>
            <w:vAlign w:val="center"/>
          </w:tcPr>
          <w:p w14:paraId="124A2B3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684" w:type="dxa"/>
            <w:vAlign w:val="center"/>
          </w:tcPr>
          <w:p w14:paraId="2C1675C6">
            <w:pPr>
              <w:jc w:val="center"/>
            </w:pPr>
          </w:p>
        </w:tc>
        <w:tc>
          <w:tcPr>
            <w:tcW w:w="684" w:type="dxa"/>
            <w:vAlign w:val="center"/>
          </w:tcPr>
          <w:p w14:paraId="1FDB8C00">
            <w:pPr>
              <w:jc w:val="center"/>
            </w:pPr>
            <w:r>
              <w:rPr>
                <w:rFonts w:hint="eastAsia"/>
              </w:rPr>
              <w:t>课堂练习+</w:t>
            </w:r>
          </w:p>
          <w:p w14:paraId="0C3F0854"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 w14:paraId="1DAC6A21"/>
        </w:tc>
      </w:tr>
      <w:tr w14:paraId="2C2A6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 w14:paraId="3FA7BABA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 w14:paraId="0DCA846A">
            <w:pPr>
              <w:rPr>
                <w:rFonts w:hint="eastAsia"/>
                <w:bCs/>
                <w:szCs w:val="21"/>
                <w:lang w:eastAsia="zh-CN"/>
              </w:rPr>
            </w:pPr>
            <w:r>
              <w:rPr>
                <w:rFonts w:hint="eastAsia"/>
                <w:bCs/>
                <w:szCs w:val="21"/>
              </w:rPr>
              <w:t>第</w:t>
            </w:r>
            <w:r>
              <w:rPr>
                <w:rFonts w:hint="eastAsia"/>
                <w:bCs/>
                <w:szCs w:val="21"/>
                <w:lang w:eastAsia="zh-CN"/>
              </w:rPr>
              <w:t>九</w:t>
            </w:r>
            <w:r>
              <w:rPr>
                <w:rFonts w:hint="eastAsia"/>
                <w:bCs/>
                <w:szCs w:val="21"/>
              </w:rPr>
              <w:t xml:space="preserve">章 </w:t>
            </w:r>
            <w:r>
              <w:rPr>
                <w:rFonts w:hint="eastAsia"/>
                <w:bCs/>
                <w:szCs w:val="21"/>
                <w:lang w:eastAsia="zh-CN"/>
              </w:rPr>
              <w:t>时间序列计量经济模型</w:t>
            </w:r>
          </w:p>
          <w:p w14:paraId="1A18BA2B">
            <w:pPr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第一节 时间序列计量经济模型分析的基本概念</w:t>
            </w:r>
          </w:p>
          <w:p w14:paraId="134B2E46">
            <w:pPr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第二节 时间序列平稳性的单位根检验</w:t>
            </w:r>
          </w:p>
          <w:p w14:paraId="57E54865">
            <w:pPr>
              <w:rPr>
                <w:bCs/>
                <w:szCs w:val="21"/>
              </w:rPr>
            </w:pPr>
          </w:p>
        </w:tc>
        <w:tc>
          <w:tcPr>
            <w:tcW w:w="684" w:type="dxa"/>
            <w:vAlign w:val="center"/>
          </w:tcPr>
          <w:p w14:paraId="2148983F">
            <w:r>
              <w:rPr>
                <w:rFonts w:hint="eastAsia"/>
              </w:rPr>
              <w:t>2</w:t>
            </w:r>
          </w:p>
        </w:tc>
        <w:tc>
          <w:tcPr>
            <w:tcW w:w="684" w:type="dxa"/>
            <w:vAlign w:val="center"/>
          </w:tcPr>
          <w:p w14:paraId="7C46768B">
            <w:r>
              <w:rPr>
                <w:rFonts w:hint="eastAsia"/>
              </w:rPr>
              <w:t>1</w:t>
            </w:r>
          </w:p>
        </w:tc>
        <w:tc>
          <w:tcPr>
            <w:tcW w:w="684" w:type="dxa"/>
            <w:vAlign w:val="center"/>
          </w:tcPr>
          <w:p w14:paraId="38B53F20">
            <w:pPr>
              <w:jc w:val="center"/>
            </w:pPr>
          </w:p>
        </w:tc>
        <w:tc>
          <w:tcPr>
            <w:tcW w:w="684" w:type="dxa"/>
            <w:vAlign w:val="center"/>
          </w:tcPr>
          <w:p w14:paraId="10ECC1D3">
            <w:pPr>
              <w:jc w:val="center"/>
            </w:pPr>
          </w:p>
        </w:tc>
        <w:tc>
          <w:tcPr>
            <w:tcW w:w="684" w:type="dxa"/>
            <w:vAlign w:val="center"/>
          </w:tcPr>
          <w:p w14:paraId="0C64AB9E">
            <w:pPr>
              <w:jc w:val="center"/>
            </w:pPr>
            <w:r>
              <w:rPr>
                <w:rFonts w:hint="eastAsia"/>
              </w:rPr>
              <w:t>课堂练习+</w:t>
            </w:r>
          </w:p>
          <w:p w14:paraId="609089C9"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 w14:paraId="65A969A3"/>
        </w:tc>
      </w:tr>
      <w:tr w14:paraId="7417B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 w14:paraId="1C92279A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 w14:paraId="130393A9">
            <w:pPr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第三节 协整</w:t>
            </w:r>
          </w:p>
          <w:p w14:paraId="5B49ED77">
            <w:pPr>
              <w:rPr>
                <w:rFonts w:hint="default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第四节 格兰杰因果检验</w:t>
            </w:r>
          </w:p>
          <w:p w14:paraId="005056FA">
            <w:pPr>
              <w:rPr>
                <w:bCs/>
                <w:szCs w:val="21"/>
              </w:rPr>
            </w:pPr>
          </w:p>
        </w:tc>
        <w:tc>
          <w:tcPr>
            <w:tcW w:w="684" w:type="dxa"/>
            <w:vAlign w:val="center"/>
          </w:tcPr>
          <w:p w14:paraId="0BD3D546">
            <w:r>
              <w:rPr>
                <w:rFonts w:hint="eastAsia"/>
              </w:rPr>
              <w:t>3</w:t>
            </w:r>
          </w:p>
        </w:tc>
        <w:tc>
          <w:tcPr>
            <w:tcW w:w="684" w:type="dxa"/>
            <w:vAlign w:val="center"/>
          </w:tcPr>
          <w:p w14:paraId="0A6847E8"/>
        </w:tc>
        <w:tc>
          <w:tcPr>
            <w:tcW w:w="684" w:type="dxa"/>
            <w:vAlign w:val="center"/>
          </w:tcPr>
          <w:p w14:paraId="36A95AB6">
            <w:pPr>
              <w:jc w:val="center"/>
            </w:pPr>
          </w:p>
        </w:tc>
        <w:tc>
          <w:tcPr>
            <w:tcW w:w="684" w:type="dxa"/>
            <w:vAlign w:val="center"/>
          </w:tcPr>
          <w:p w14:paraId="1D0B6F96">
            <w:pPr>
              <w:jc w:val="center"/>
            </w:pPr>
          </w:p>
        </w:tc>
        <w:tc>
          <w:tcPr>
            <w:tcW w:w="684" w:type="dxa"/>
            <w:vAlign w:val="center"/>
          </w:tcPr>
          <w:p w14:paraId="07850377">
            <w:pPr>
              <w:jc w:val="center"/>
            </w:pPr>
            <w:r>
              <w:rPr>
                <w:rFonts w:hint="eastAsia"/>
              </w:rPr>
              <w:t>课堂练习+</w:t>
            </w:r>
          </w:p>
          <w:p w14:paraId="6190FFF0"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 w14:paraId="2993D086"/>
        </w:tc>
      </w:tr>
      <w:tr w14:paraId="4CA11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 w14:paraId="3F4ECCFD">
            <w:pPr>
              <w:jc w:val="center"/>
            </w:pPr>
            <w:r>
              <w:rPr>
                <w:rFonts w:hint="eastAsia"/>
                <w:bCs/>
                <w:szCs w:val="21"/>
              </w:rPr>
              <w:t>合计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 w14:paraId="2E7E0743">
            <w:pPr>
              <w:rPr>
                <w:rFonts w:hint="default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64</w:t>
            </w:r>
          </w:p>
        </w:tc>
        <w:tc>
          <w:tcPr>
            <w:tcW w:w="684" w:type="dxa"/>
            <w:vAlign w:val="center"/>
          </w:tcPr>
          <w:p w14:paraId="7CB76801">
            <w:pPr>
              <w:rPr>
                <w:rFonts w:hint="default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48</w:t>
            </w:r>
          </w:p>
        </w:tc>
        <w:tc>
          <w:tcPr>
            <w:tcW w:w="684" w:type="dxa"/>
            <w:vAlign w:val="center"/>
          </w:tcPr>
          <w:p w14:paraId="66DC627B"/>
        </w:tc>
        <w:tc>
          <w:tcPr>
            <w:tcW w:w="684" w:type="dxa"/>
            <w:vAlign w:val="center"/>
          </w:tcPr>
          <w:p w14:paraId="5417F98F">
            <w:pPr>
              <w:jc w:val="center"/>
            </w:pPr>
          </w:p>
        </w:tc>
        <w:tc>
          <w:tcPr>
            <w:tcW w:w="684" w:type="dxa"/>
            <w:vAlign w:val="center"/>
          </w:tcPr>
          <w:p w14:paraId="240DC335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684" w:type="dxa"/>
            <w:vAlign w:val="center"/>
          </w:tcPr>
          <w:p w14:paraId="1D09134A">
            <w:pPr>
              <w:jc w:val="center"/>
            </w:pPr>
            <w:r>
              <w:rPr>
                <w:rFonts w:hint="eastAsia"/>
              </w:rPr>
              <w:t>课堂练习+</w:t>
            </w:r>
          </w:p>
          <w:p w14:paraId="5ED06795">
            <w:pPr>
              <w:jc w:val="center"/>
            </w:pPr>
            <w:r>
              <w:rPr>
                <w:rFonts w:hint="eastAsia"/>
              </w:rPr>
              <w:t>课后</w:t>
            </w:r>
          </w:p>
          <w:p w14:paraId="43C51A4B">
            <w:pPr>
              <w:jc w:val="center"/>
            </w:pPr>
            <w:r>
              <w:rPr>
                <w:rFonts w:hint="eastAsia"/>
              </w:rPr>
              <w:t>练习</w:t>
            </w:r>
          </w:p>
        </w:tc>
        <w:tc>
          <w:tcPr>
            <w:tcW w:w="945" w:type="dxa"/>
            <w:vAlign w:val="center"/>
          </w:tcPr>
          <w:p w14:paraId="594D465A"/>
        </w:tc>
      </w:tr>
    </w:tbl>
    <w:p w14:paraId="2D900BC7">
      <w:pPr>
        <w:rPr>
          <w:rFonts w:ascii="宋体" w:hAnsi="宋体"/>
          <w:sz w:val="24"/>
        </w:rPr>
      </w:pPr>
    </w:p>
    <w:p w14:paraId="57DAD058">
      <w:pPr>
        <w:spacing w:line="720" w:lineRule="exact"/>
        <w:rPr>
          <w:rFonts w:hint="eastAsia" w:ascii="宋体" w:hAnsi="宋体"/>
          <w:sz w:val="44"/>
        </w:rPr>
      </w:pPr>
    </w:p>
    <w:p w14:paraId="72087A6B">
      <w:pPr>
        <w:spacing w:line="720" w:lineRule="exact"/>
        <w:rPr>
          <w:rFonts w:hint="eastAsia" w:ascii="宋体" w:hAnsi="宋体"/>
          <w:sz w:val="44"/>
        </w:rPr>
      </w:pPr>
    </w:p>
    <w:p w14:paraId="685649A4">
      <w:pPr>
        <w:spacing w:line="720" w:lineRule="exact"/>
        <w:rPr>
          <w:rFonts w:hint="eastAsia" w:ascii="宋体" w:hAnsi="宋体"/>
          <w:sz w:val="44"/>
        </w:rPr>
      </w:pPr>
    </w:p>
    <w:p w14:paraId="61C97601">
      <w:pPr>
        <w:spacing w:line="720" w:lineRule="exact"/>
        <w:rPr>
          <w:rFonts w:hint="eastAsia" w:ascii="宋体" w:hAnsi="宋体"/>
          <w:sz w:val="44"/>
        </w:rPr>
      </w:pPr>
    </w:p>
    <w:p w14:paraId="67AC6188">
      <w:pPr>
        <w:spacing w:line="720" w:lineRule="exact"/>
        <w:rPr>
          <w:rFonts w:hint="eastAsia" w:ascii="宋体" w:hAnsi="宋体"/>
          <w:sz w:val="44"/>
        </w:rPr>
      </w:pPr>
    </w:p>
    <w:p w14:paraId="5E0FAC39">
      <w:pPr>
        <w:spacing w:line="720" w:lineRule="exact"/>
        <w:rPr>
          <w:rFonts w:hint="eastAsia" w:ascii="宋体" w:hAnsi="宋体"/>
          <w:sz w:val="44"/>
        </w:rPr>
      </w:pPr>
    </w:p>
    <w:p w14:paraId="5FA8CEAD">
      <w:pPr>
        <w:spacing w:line="720" w:lineRule="exact"/>
        <w:rPr>
          <w:rFonts w:hint="eastAsia" w:ascii="宋体" w:hAnsi="宋体"/>
          <w:sz w:val="44"/>
        </w:rPr>
      </w:pPr>
    </w:p>
    <w:p w14:paraId="4AAE6BA9">
      <w:pPr>
        <w:spacing w:line="720" w:lineRule="exact"/>
        <w:rPr>
          <w:rFonts w:hint="eastAsia" w:ascii="宋体" w:hAnsi="宋体"/>
          <w:sz w:val="44"/>
        </w:rPr>
      </w:pPr>
    </w:p>
    <w:p w14:paraId="27E114D0">
      <w:pPr>
        <w:spacing w:line="720" w:lineRule="exact"/>
        <w:rPr>
          <w:rFonts w:hint="eastAsia" w:ascii="宋体" w:hAnsi="宋体"/>
          <w:sz w:val="44"/>
        </w:rPr>
      </w:pPr>
    </w:p>
    <w:p w14:paraId="6AE8D229">
      <w:pPr>
        <w:spacing w:line="720" w:lineRule="exact"/>
        <w:rPr>
          <w:rFonts w:hint="eastAsia" w:ascii="宋体" w:hAnsi="宋体"/>
          <w:sz w:val="44"/>
        </w:rPr>
      </w:pPr>
    </w:p>
    <w:p w14:paraId="1569DD48">
      <w:pPr>
        <w:spacing w:line="720" w:lineRule="exact"/>
        <w:rPr>
          <w:rFonts w:ascii="宋体" w:hAnsi="宋体"/>
          <w:sz w:val="52"/>
        </w:rPr>
      </w:pPr>
      <w:r>
        <w:rPr>
          <w:rFonts w:hint="eastAsia" w:ascii="宋体" w:hAnsi="宋体"/>
          <w:sz w:val="44"/>
        </w:rPr>
        <w:t>教研室审查意见：</w:t>
      </w:r>
      <w:r>
        <w:rPr>
          <w:rFonts w:ascii="宋体" w:hAnsi="宋体"/>
          <w:sz w:val="52"/>
        </w:rPr>
        <w:t xml:space="preserve"> </w:t>
      </w:r>
    </w:p>
    <w:p w14:paraId="28251335">
      <w:pPr>
        <w:spacing w:line="720" w:lineRule="exact"/>
        <w:jc w:val="both"/>
        <w:rPr>
          <w:rFonts w:hint="eastAsia" w:ascii="宋体" w:hAnsi="宋体"/>
          <w:sz w:val="28"/>
        </w:rPr>
      </w:pPr>
    </w:p>
    <w:p w14:paraId="7BCE07BC">
      <w:pPr>
        <w:spacing w:line="720" w:lineRule="exact"/>
        <w:jc w:val="right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 xml:space="preserve">                                   </w:t>
      </w:r>
    </w:p>
    <w:p w14:paraId="09AA7598">
      <w:pPr>
        <w:spacing w:line="720" w:lineRule="exact"/>
        <w:jc w:val="right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教研室主任签名：                                                     202</w:t>
      </w:r>
      <w:r>
        <w:rPr>
          <w:rFonts w:hint="eastAsia" w:ascii="宋体" w:hAnsi="宋体"/>
          <w:sz w:val="32"/>
          <w:szCs w:val="32"/>
          <w:lang w:val="en-US" w:eastAsia="zh-CN"/>
        </w:rPr>
        <w:t>3</w:t>
      </w:r>
      <w:r>
        <w:rPr>
          <w:rFonts w:hint="eastAsia" w:ascii="宋体" w:hAnsi="宋体"/>
          <w:sz w:val="32"/>
          <w:szCs w:val="32"/>
        </w:rPr>
        <w:t>年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/>
          <w:sz w:val="32"/>
          <w:szCs w:val="32"/>
        </w:rPr>
        <w:t xml:space="preserve"> 月  日</w:t>
      </w:r>
    </w:p>
    <w:p w14:paraId="73F30CF8">
      <w:pPr>
        <w:wordWrap w:val="0"/>
        <w:spacing w:line="720" w:lineRule="exact"/>
        <w:ind w:right="26"/>
        <w:jc w:val="center"/>
        <w:rPr>
          <w:rFonts w:ascii="宋体" w:hAnsi="宋体"/>
          <w:sz w:val="32"/>
          <w:szCs w:val="32"/>
        </w:rPr>
      </w:pPr>
    </w:p>
    <w:p w14:paraId="0FF910FD">
      <w:pPr>
        <w:spacing w:line="720" w:lineRule="exact"/>
        <w:jc w:val="center"/>
        <w:rPr>
          <w:rFonts w:ascii="宋体" w:hAnsi="宋体"/>
          <w:sz w:val="52"/>
        </w:rPr>
      </w:pPr>
      <w:r>
        <w:rPr>
          <w:rFonts w:hint="eastAsia" w:ascii="宋体" w:hAnsi="宋体"/>
          <w:sz w:val="44"/>
        </w:rPr>
        <w:t>执行情况检查记载</w:t>
      </w:r>
    </w:p>
    <w:p w14:paraId="075E4326">
      <w:pPr>
        <w:spacing w:line="720" w:lineRule="exact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>第一次:</w:t>
      </w:r>
    </w:p>
    <w:p w14:paraId="166D817C">
      <w:pPr>
        <w:spacing w:line="720" w:lineRule="exact"/>
        <w:rPr>
          <w:rFonts w:ascii="宋体" w:hAnsi="宋体"/>
          <w:sz w:val="32"/>
        </w:rPr>
      </w:pPr>
    </w:p>
    <w:p w14:paraId="70288BB1">
      <w:pPr>
        <w:spacing w:line="720" w:lineRule="exact"/>
        <w:rPr>
          <w:rFonts w:ascii="宋体" w:hAnsi="宋体"/>
          <w:sz w:val="32"/>
        </w:rPr>
      </w:pPr>
    </w:p>
    <w:p w14:paraId="0615238D">
      <w:pPr>
        <w:spacing w:line="720" w:lineRule="exact"/>
        <w:rPr>
          <w:rFonts w:ascii="宋体" w:hAnsi="宋体"/>
          <w:sz w:val="32"/>
          <w:u w:val="single"/>
        </w:rPr>
      </w:pPr>
      <w:r>
        <w:rPr>
          <w:rFonts w:hint="eastAsia" w:ascii="宋体" w:hAnsi="宋体"/>
          <w:sz w:val="32"/>
        </w:rPr>
        <w:t xml:space="preserve">                           教研室主任签名: </w:t>
      </w:r>
    </w:p>
    <w:p w14:paraId="38B75B4F">
      <w:pPr>
        <w:spacing w:line="720" w:lineRule="exact"/>
        <w:ind w:firstLine="4800" w:firstLineChars="1500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>20   年     月     日</w:t>
      </w:r>
    </w:p>
    <w:p w14:paraId="3162F0D4">
      <w:pPr>
        <w:spacing w:line="720" w:lineRule="exact"/>
        <w:rPr>
          <w:rFonts w:ascii="宋体" w:hAnsi="宋体"/>
        </w:rPr>
      </w:pPr>
      <w:r>
        <w:rPr>
          <w:rFonts w:hint="eastAsia" w:ascii="宋体" w:hAnsi="宋体"/>
          <w:sz w:val="32"/>
        </w:rPr>
        <w:t xml:space="preserve"> </w:t>
      </w:r>
      <w:r>
        <w:rPr>
          <w:rFonts w:hint="eastAsia" w:ascii="宋体" w:hAnsi="宋体"/>
          <w:sz w:val="32"/>
          <w:u w:val="single"/>
        </w:rPr>
        <w:t xml:space="preserve">                                                            </w:t>
      </w:r>
      <w:r>
        <w:rPr>
          <w:rFonts w:hint="eastAsia" w:ascii="宋体" w:hAnsi="宋体"/>
        </w:rPr>
        <w:t xml:space="preserve"> </w:t>
      </w:r>
    </w:p>
    <w:p w14:paraId="716A90EF">
      <w:pPr>
        <w:spacing w:line="720" w:lineRule="exact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 xml:space="preserve">第二次 </w:t>
      </w:r>
    </w:p>
    <w:p w14:paraId="6436ED64">
      <w:pPr>
        <w:spacing w:line="720" w:lineRule="exact"/>
        <w:ind w:firstLine="420"/>
        <w:rPr>
          <w:rFonts w:ascii="宋体" w:hAnsi="宋体"/>
          <w:sz w:val="32"/>
        </w:rPr>
      </w:pPr>
    </w:p>
    <w:p w14:paraId="4FFF5801">
      <w:pPr>
        <w:spacing w:line="720" w:lineRule="exact"/>
        <w:ind w:firstLine="420"/>
        <w:rPr>
          <w:rFonts w:ascii="宋体" w:hAnsi="宋体"/>
          <w:sz w:val="32"/>
        </w:rPr>
      </w:pPr>
    </w:p>
    <w:p w14:paraId="5C49E047">
      <w:pPr>
        <w:spacing w:line="720" w:lineRule="exact"/>
        <w:ind w:firstLine="4160" w:firstLineChars="1300"/>
        <w:rPr>
          <w:rFonts w:ascii="宋体" w:hAnsi="宋体"/>
          <w:sz w:val="32"/>
          <w:u w:val="single"/>
        </w:rPr>
      </w:pPr>
      <w:r>
        <w:rPr>
          <w:rFonts w:hint="eastAsia" w:ascii="宋体" w:hAnsi="宋体"/>
          <w:sz w:val="32"/>
        </w:rPr>
        <w:t xml:space="preserve">教研室主任签名: </w:t>
      </w:r>
    </w:p>
    <w:p w14:paraId="06983E31">
      <w:pPr>
        <w:spacing w:line="720" w:lineRule="exact"/>
        <w:jc w:val="right"/>
        <w:rPr>
          <w:rFonts w:ascii="方正姚体" w:hAnsi="宋体" w:eastAsia="方正姚体"/>
        </w:rPr>
      </w:pPr>
      <w:r>
        <w:rPr>
          <w:rFonts w:hint="eastAsia" w:ascii="宋体" w:hAnsi="宋体"/>
          <w:sz w:val="32"/>
        </w:rPr>
        <w:t>20   年     月     日</w:t>
      </w:r>
      <w:r>
        <w:rPr>
          <w:rFonts w:hint="eastAsia" w:ascii="方正姚体" w:hAnsi="宋体" w:eastAsia="方正姚体"/>
          <w:sz w:val="36"/>
        </w:rPr>
        <w:t xml:space="preserve">               </w:t>
      </w:r>
    </w:p>
    <w:p w14:paraId="25FC7E5B"/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06ABB9">
    <w:pPr>
      <w:pStyle w:val="3"/>
      <w:ind w:firstLine="4500" w:firstLineChars="2500"/>
    </w:pPr>
    <w:r>
      <w:fldChar w:fldCharType="begin"/>
    </w:r>
    <w:r>
      <w:rPr>
        <w:rStyle w:val="7"/>
      </w:rPr>
      <w:instrText xml:space="preserve"> PAGE </w:instrText>
    </w:r>
    <w:r>
      <w:fldChar w:fldCharType="separate"/>
    </w:r>
    <w:r>
      <w:rPr>
        <w:rStyle w:val="7"/>
      </w:rPr>
      <w:t>8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457F4A7"/>
    <w:multiLevelType w:val="singleLevel"/>
    <w:tmpl w:val="D457F4A7"/>
    <w:lvl w:ilvl="0" w:tentative="0">
      <w:start w:val="5"/>
      <w:numFmt w:val="chineseCounting"/>
      <w:suff w:val="space"/>
      <w:lvlText w:val="第%1章"/>
      <w:lvlJc w:val="left"/>
      <w:rPr>
        <w:rFonts w:hint="eastAsia"/>
      </w:rPr>
    </w:lvl>
  </w:abstractNum>
  <w:abstractNum w:abstractNumId="1">
    <w:nsid w:val="58A985BE"/>
    <w:multiLevelType w:val="singleLevel"/>
    <w:tmpl w:val="58A985BE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1OTlkNzAwZDBmZjNkODU3OTVhN2Y2NDc0YjcwMTAifQ=="/>
  </w:docVars>
  <w:rsids>
    <w:rsidRoot w:val="00B4476E"/>
    <w:rsid w:val="00073917"/>
    <w:rsid w:val="003D19F6"/>
    <w:rsid w:val="00412F4B"/>
    <w:rsid w:val="00747815"/>
    <w:rsid w:val="0074799F"/>
    <w:rsid w:val="00A83E74"/>
    <w:rsid w:val="00B4476E"/>
    <w:rsid w:val="00D54697"/>
    <w:rsid w:val="00D569EC"/>
    <w:rsid w:val="00E84E90"/>
    <w:rsid w:val="00EB0E57"/>
    <w:rsid w:val="1C3310EC"/>
    <w:rsid w:val="2AF91C9E"/>
    <w:rsid w:val="2DF61A6F"/>
    <w:rsid w:val="596C3F71"/>
    <w:rsid w:val="5C9907E2"/>
    <w:rsid w:val="5F5356D0"/>
    <w:rsid w:val="72D20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8"/>
    <w:qFormat/>
    <w:uiPriority w:val="0"/>
    <w:pPr>
      <w:ind w:right="-1675"/>
    </w:p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Strong"/>
    <w:qFormat/>
    <w:uiPriority w:val="0"/>
    <w:rPr>
      <w:b/>
      <w:bCs/>
    </w:rPr>
  </w:style>
  <w:style w:type="character" w:styleId="7">
    <w:name w:val="page number"/>
    <w:basedOn w:val="5"/>
    <w:qFormat/>
    <w:uiPriority w:val="0"/>
  </w:style>
  <w:style w:type="character" w:customStyle="1" w:styleId="8">
    <w:name w:val="正文文本 Char"/>
    <w:basedOn w:val="5"/>
    <w:link w:val="2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9">
    <w:name w:val="页脚 Char"/>
    <w:basedOn w:val="5"/>
    <w:link w:val="3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3034</Words>
  <Characters>3124</Characters>
  <Lines>25</Lines>
  <Paragraphs>7</Paragraphs>
  <TotalTime>5</TotalTime>
  <ScaleCrop>false</ScaleCrop>
  <LinksUpToDate>false</LinksUpToDate>
  <CharactersWithSpaces>3565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2021-03-19T04:13:00Z</dcterms:created>
  <dc:creator>风轻无痕</dc:creator>
  <cp:lastModifiedBy>Qian.Z</cp:lastModifiedBy>
  <dcterms:modified xsi:type="dcterms:W3CDTF">2026-03-13T02:08:11Z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5B66D38D6CAF42BC9D34440D88719D47</vt:lpwstr>
  </property>
  <property fmtid="{D5CDD505-2E9C-101B-9397-08002B2CF9AE}" pid="4" name="KSOTemplateDocerSaveRecord">
    <vt:lpwstr>eyJoZGlkIjoiMTZlMjQxYTRlNWVjZTVjZWVlNGQ2NGM0MGExMTc3NzEiLCJ1c2VySWQiOiIxNDkzNjU5NzMwIn0=</vt:lpwstr>
  </property>
</Properties>
</file>