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iCs/>
          <w:sz w:val="84"/>
          <w:szCs w:val="84"/>
        </w:rPr>
      </w:pPr>
      <w:r>
        <w:rPr>
          <w:rFonts w:hint="eastAsia" w:ascii="宋体" w:hAnsi="宋体"/>
          <w:b/>
          <w:bCs/>
          <w:iCs/>
          <w:sz w:val="84"/>
          <w:szCs w:val="84"/>
        </w:rPr>
        <w:t>乐山师范学院</w:t>
      </w:r>
    </w:p>
    <w:p>
      <w:pPr>
        <w:jc w:val="center"/>
        <w:rPr>
          <w:rFonts w:hint="eastAsia" w:ascii="楷体" w:hAnsi="楷体" w:eastAsia="楷体"/>
          <w:sz w:val="72"/>
          <w:szCs w:val="72"/>
        </w:rPr>
      </w:pPr>
      <w:r>
        <w:rPr>
          <w:rFonts w:hint="eastAsia" w:ascii="楷体" w:hAnsi="楷体" w:eastAsia="楷体"/>
          <w:sz w:val="72"/>
          <w:szCs w:val="72"/>
        </w:rPr>
        <w:t>教师教学工作计划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</w:t>
      </w:r>
      <w:r>
        <w:t xml:space="preserve">  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  </w:t>
      </w:r>
    </w:p>
    <w:p>
      <w:pPr>
        <w:rPr>
          <w:rFonts w:hint="eastAsia" w:ascii="宋体" w:hAnsi="宋体"/>
          <w:sz w:val="44"/>
          <w:szCs w:val="44"/>
          <w:u w:val="single"/>
        </w:rPr>
      </w:pPr>
      <w:r>
        <w:rPr>
          <w:rFonts w:hint="eastAsia" w:ascii="宋体" w:hAnsi="宋体"/>
          <w:sz w:val="44"/>
          <w:szCs w:val="44"/>
        </w:rPr>
        <w:t xml:space="preserve">     课程名称</w:t>
      </w:r>
      <w:r>
        <w:rPr>
          <w:rFonts w:hint="eastAsia" w:ascii="宋体" w:hAnsi="宋体"/>
          <w:sz w:val="44"/>
          <w:szCs w:val="44"/>
          <w:u w:val="single"/>
        </w:rPr>
        <w:t xml:space="preserve">         高等数学2      </w:t>
      </w:r>
    </w:p>
    <w:p>
      <w:pPr>
        <w:rPr>
          <w:rFonts w:hint="eastAsia" w:ascii="宋体" w:hAnsi="宋体"/>
          <w:sz w:val="44"/>
          <w:szCs w:val="44"/>
          <w:u w:val="single"/>
        </w:rPr>
      </w:pPr>
    </w:p>
    <w:p>
      <w:pPr>
        <w:rPr>
          <w:rFonts w:hint="eastAsia" w:ascii="宋体" w:hAnsi="宋体"/>
          <w:sz w:val="36"/>
          <w:szCs w:val="36"/>
          <w:u w:val="single"/>
        </w:rPr>
      </w:pPr>
      <w:r>
        <w:rPr>
          <w:rFonts w:hint="eastAsia" w:ascii="宋体" w:hAnsi="宋体"/>
          <w:sz w:val="44"/>
          <w:szCs w:val="44"/>
        </w:rPr>
        <w:t xml:space="preserve">     任课教师</w:t>
      </w:r>
      <w:r>
        <w:rPr>
          <w:rFonts w:hint="eastAsia" w:ascii="宋体" w:hAnsi="宋体"/>
          <w:sz w:val="44"/>
          <w:szCs w:val="44"/>
          <w:u w:val="single"/>
        </w:rPr>
        <w:t xml:space="preserve">         张志超         </w:t>
      </w:r>
    </w:p>
    <w:p>
      <w:pPr>
        <w:rPr>
          <w:rFonts w:hint="eastAsia" w:ascii="宋体" w:hAnsi="宋体"/>
          <w:sz w:val="44"/>
          <w:szCs w:val="44"/>
          <w:u w:val="single"/>
        </w:rPr>
      </w:pPr>
    </w:p>
    <w:p>
      <w:pPr>
        <w:jc w:val="center"/>
        <w:rPr>
          <w:rFonts w:hint="default" w:ascii="宋体" w:hAnsi="宋体" w:eastAsia="宋体"/>
          <w:sz w:val="44"/>
          <w:szCs w:val="44"/>
          <w:u w:val="single"/>
          <w:lang w:val="en-US" w:eastAsia="zh-CN"/>
        </w:rPr>
      </w:pPr>
      <w:r>
        <w:rPr>
          <w:rFonts w:hint="eastAsia" w:ascii="宋体" w:hAnsi="宋体"/>
          <w:sz w:val="44"/>
          <w:szCs w:val="44"/>
        </w:rPr>
        <w:t xml:space="preserve">   授课班级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 xml:space="preserve"> 材化25</w:t>
      </w:r>
      <w:r>
        <w:rPr>
          <w:rFonts w:hint="eastAsia" w:ascii="宋体" w:hAnsi="宋体"/>
          <w:sz w:val="44"/>
          <w:szCs w:val="44"/>
          <w:u w:val="single"/>
        </w:rPr>
        <w:t>本1</w:t>
      </w:r>
      <w:r>
        <w:rPr>
          <w:rFonts w:hint="eastAsia" w:ascii="宋体" w:hAnsi="宋体"/>
          <w:sz w:val="44"/>
          <w:szCs w:val="44"/>
          <w:u w:val="single"/>
          <w:lang w:eastAsia="zh-CN"/>
        </w:rPr>
        <w:t>，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2（环境工程）</w:t>
      </w:r>
    </w:p>
    <w:p>
      <w:pPr>
        <w:jc w:val="center"/>
        <w:rPr>
          <w:rFonts w:hint="eastAsia" w:ascii="宋体" w:hAnsi="宋体"/>
          <w:sz w:val="44"/>
          <w:szCs w:val="44"/>
          <w:u w:val="single"/>
        </w:rPr>
      </w:pPr>
    </w:p>
    <w:p>
      <w:pPr>
        <w:rPr>
          <w:rFonts w:hint="eastAsia" w:ascii="宋体" w:hAnsi="宋体"/>
          <w:sz w:val="44"/>
          <w:szCs w:val="44"/>
          <w:u w:val="single"/>
        </w:rPr>
      </w:pPr>
      <w:r>
        <w:rPr>
          <w:rFonts w:hint="eastAsia" w:ascii="宋体" w:hAnsi="宋体"/>
          <w:sz w:val="44"/>
          <w:szCs w:val="44"/>
        </w:rPr>
        <w:t xml:space="preserve">    上交教研组日期</w:t>
      </w:r>
      <w:r>
        <w:rPr>
          <w:rFonts w:hint="eastAsia" w:ascii="宋体" w:hAnsi="宋体"/>
          <w:sz w:val="44"/>
          <w:szCs w:val="44"/>
          <w:u w:val="single"/>
        </w:rPr>
        <w:t xml:space="preserve">      </w:t>
      </w:r>
      <w:r>
        <w:rPr>
          <w:rFonts w:ascii="宋体" w:hAnsi="宋体"/>
          <w:sz w:val="44"/>
          <w:szCs w:val="44"/>
          <w:u w:val="single"/>
        </w:rPr>
        <w:t>20</w:t>
      </w:r>
      <w:r>
        <w:rPr>
          <w:rFonts w:hint="eastAsia" w:ascii="宋体" w:hAnsi="宋体"/>
          <w:sz w:val="44"/>
          <w:szCs w:val="44"/>
          <w:u w:val="single"/>
        </w:rPr>
        <w:t>2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6</w:t>
      </w:r>
      <w:r>
        <w:rPr>
          <w:rFonts w:ascii="宋体" w:hAnsi="宋体"/>
          <w:sz w:val="44"/>
          <w:szCs w:val="44"/>
          <w:u w:val="single"/>
        </w:rPr>
        <w:t>-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3</w:t>
      </w:r>
      <w:r>
        <w:rPr>
          <w:rFonts w:ascii="宋体" w:hAnsi="宋体"/>
          <w:sz w:val="44"/>
          <w:szCs w:val="44"/>
          <w:u w:val="single"/>
        </w:rPr>
        <w:t>-</w:t>
      </w:r>
      <w:r>
        <w:rPr>
          <w:rFonts w:hint="eastAsia" w:ascii="宋体" w:hAnsi="宋体"/>
          <w:sz w:val="44"/>
          <w:szCs w:val="44"/>
          <w:u w:val="single"/>
          <w:lang w:val="en-US" w:eastAsia="zh-CN"/>
        </w:rPr>
        <w:t>6</w:t>
      </w:r>
      <w:r>
        <w:rPr>
          <w:rFonts w:hint="eastAsia" w:ascii="宋体" w:hAnsi="宋体"/>
          <w:sz w:val="44"/>
          <w:szCs w:val="44"/>
          <w:u w:val="single"/>
        </w:rPr>
        <w:t xml:space="preserve">    </w:t>
      </w:r>
    </w:p>
    <w:p>
      <w:pPr>
        <w:ind w:firstLine="2640" w:firstLineChars="600"/>
        <w:rPr>
          <w:rFonts w:hint="eastAsia" w:ascii="宋体" w:hAnsi="宋体"/>
          <w:sz w:val="44"/>
          <w:szCs w:val="44"/>
          <w:u w:val="single"/>
        </w:rPr>
      </w:pPr>
    </w:p>
    <w:p>
      <w:pPr>
        <w:ind w:firstLine="2160" w:firstLineChars="600"/>
        <w:rPr>
          <w:rFonts w:hint="eastAsia" w:ascii="宋体" w:hAnsi="宋体"/>
          <w:sz w:val="36"/>
          <w:u w:val="single"/>
        </w:rPr>
      </w:pPr>
    </w:p>
    <w:p>
      <w:pPr>
        <w:rPr>
          <w:rFonts w:hint="eastAsia" w:ascii="宋体" w:hAnsi="宋体"/>
          <w:sz w:val="36"/>
          <w:u w:val="single"/>
        </w:rPr>
      </w:pPr>
    </w:p>
    <w:p>
      <w:pPr>
        <w:rPr>
          <w:rFonts w:hint="eastAsia" w:ascii="宋体" w:hAnsi="宋体"/>
          <w:sz w:val="36"/>
          <w:u w:val="single"/>
        </w:rPr>
      </w:pPr>
    </w:p>
    <w:p>
      <w:pPr>
        <w:rPr>
          <w:rFonts w:hint="eastAsia" w:ascii="宋体" w:hAnsi="宋体"/>
          <w:sz w:val="36"/>
          <w:u w:val="single"/>
        </w:rPr>
      </w:pPr>
    </w:p>
    <w:p>
      <w:pPr>
        <w:rPr>
          <w:rFonts w:hint="eastAsia" w:ascii="宋体" w:hAnsi="宋体"/>
          <w:sz w:val="36"/>
          <w:u w:val="single"/>
        </w:rPr>
      </w:pPr>
    </w:p>
    <w:p>
      <w:pPr>
        <w:jc w:val="center"/>
        <w:outlineLvl w:val="0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202</w:t>
      </w:r>
      <w:r>
        <w:rPr>
          <w:rFonts w:hint="eastAsia" w:ascii="宋体" w:hAnsi="宋体"/>
          <w:sz w:val="44"/>
          <w:szCs w:val="44"/>
          <w:lang w:val="en-US" w:eastAsia="zh-CN"/>
        </w:rPr>
        <w:t>5</w:t>
      </w:r>
      <w:r>
        <w:rPr>
          <w:rFonts w:hint="eastAsia" w:ascii="宋体" w:hAnsi="宋体"/>
          <w:sz w:val="44"/>
          <w:szCs w:val="44"/>
        </w:rPr>
        <w:t>—202</w:t>
      </w:r>
      <w:r>
        <w:rPr>
          <w:rFonts w:hint="eastAsia" w:ascii="宋体" w:hAnsi="宋体"/>
          <w:sz w:val="44"/>
          <w:szCs w:val="44"/>
          <w:lang w:val="en-US" w:eastAsia="zh-CN"/>
        </w:rPr>
        <w:t>6</w:t>
      </w:r>
      <w:r>
        <w:rPr>
          <w:rFonts w:hint="eastAsia" w:ascii="宋体" w:hAnsi="宋体"/>
          <w:sz w:val="44"/>
          <w:szCs w:val="44"/>
        </w:rPr>
        <w:t>年度第  2  学期</w:t>
      </w:r>
    </w:p>
    <w:p>
      <w:pPr>
        <w:ind w:firstLine="2160" w:firstLineChars="600"/>
        <w:rPr>
          <w:rFonts w:hint="eastAsia" w:ascii="宋体" w:hAnsi="宋体"/>
          <w:sz w:val="36"/>
        </w:rPr>
      </w:pPr>
    </w:p>
    <w:p>
      <w:pPr>
        <w:ind w:firstLine="2160" w:firstLineChars="600"/>
        <w:rPr>
          <w:rFonts w:hint="eastAsia" w:ascii="宋体" w:hAnsi="宋体"/>
          <w:sz w:val="36"/>
        </w:rPr>
      </w:pPr>
    </w:p>
    <w:p>
      <w:pPr>
        <w:rPr>
          <w:rFonts w:hint="eastAsia" w:ascii="宋体" w:hAnsi="宋体"/>
        </w:rPr>
      </w:pP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说明</w:t>
      </w:r>
    </w:p>
    <w:p>
      <w:pPr>
        <w:spacing w:line="360" w:lineRule="auto"/>
        <w:ind w:firstLine="355" w:firstLineChars="148"/>
        <w:rPr>
          <w:rFonts w:hint="eastAsia"/>
          <w:sz w:val="24"/>
        </w:rPr>
      </w:pPr>
      <w:r>
        <w:rPr>
          <w:rFonts w:hint="eastAsia"/>
          <w:sz w:val="24"/>
        </w:rPr>
        <w:t>一、教学工作计划一般应有以下内容。</w:t>
      </w:r>
    </w:p>
    <w:p>
      <w:pPr>
        <w:spacing w:line="360" w:lineRule="auto"/>
        <w:ind w:firstLine="470" w:firstLineChars="196"/>
        <w:rPr>
          <w:rFonts w:hint="eastAsia"/>
          <w:sz w:val="24"/>
        </w:rPr>
      </w:pPr>
      <w:r>
        <w:rPr>
          <w:rFonts w:hint="eastAsia"/>
          <w:sz w:val="24"/>
        </w:rPr>
        <w:t>1、教学目的要求。</w:t>
      </w:r>
    </w:p>
    <w:p>
      <w:pPr>
        <w:spacing w:line="360" w:lineRule="auto"/>
        <w:ind w:firstLine="470" w:firstLineChars="196"/>
        <w:rPr>
          <w:rFonts w:hint="eastAsia"/>
          <w:sz w:val="24"/>
        </w:rPr>
      </w:pPr>
      <w:r>
        <w:rPr>
          <w:rFonts w:hint="eastAsia"/>
          <w:sz w:val="24"/>
        </w:rPr>
        <w:t>2、选用教材名称、编者、版本、教师备课主要参考书目，介绍给学生的阅读参考书目。</w:t>
      </w:r>
    </w:p>
    <w:p>
      <w:pPr>
        <w:spacing w:line="360" w:lineRule="auto"/>
        <w:ind w:firstLine="470" w:firstLineChars="196"/>
        <w:rPr>
          <w:rFonts w:hint="eastAsia"/>
          <w:sz w:val="24"/>
        </w:rPr>
      </w:pPr>
      <w:r>
        <w:rPr>
          <w:rFonts w:hint="eastAsia"/>
          <w:sz w:val="24"/>
        </w:rPr>
        <w:t>3、改革教学方法，提高教迷质量的具体措施，如：</w:t>
      </w:r>
    </w:p>
    <w:p>
      <w:pPr>
        <w:spacing w:line="360" w:lineRule="auto"/>
        <w:ind w:firstLine="470" w:firstLineChars="196"/>
        <w:rPr>
          <w:rFonts w:hint="eastAsia"/>
          <w:sz w:val="24"/>
        </w:rPr>
      </w:pPr>
      <w:r>
        <w:rPr>
          <w:rFonts w:hint="eastAsia"/>
          <w:sz w:val="24"/>
        </w:rPr>
        <w:t>（1）处理教材，改革教学方法，培养学生自学的基本考虑。</w:t>
      </w:r>
    </w:p>
    <w:p>
      <w:pPr>
        <w:spacing w:line="360" w:lineRule="auto"/>
        <w:ind w:firstLine="470" w:firstLineChars="196"/>
        <w:rPr>
          <w:rFonts w:hint="eastAsia"/>
          <w:sz w:val="24"/>
        </w:rPr>
      </w:pPr>
      <w:r>
        <w:rPr>
          <w:rFonts w:hint="eastAsia"/>
          <w:sz w:val="24"/>
        </w:rPr>
        <w:t>（2）作业方式、作业量、作业处理方式。</w:t>
      </w:r>
    </w:p>
    <w:p>
      <w:pPr>
        <w:spacing w:line="360" w:lineRule="auto"/>
        <w:ind w:firstLine="470" w:firstLineChars="196"/>
        <w:rPr>
          <w:rFonts w:hint="eastAsia"/>
          <w:sz w:val="24"/>
        </w:rPr>
      </w:pPr>
      <w:r>
        <w:rPr>
          <w:rFonts w:hint="eastAsia"/>
          <w:sz w:val="24"/>
        </w:rPr>
        <w:t>（3）辅导措施。</w:t>
      </w:r>
    </w:p>
    <w:p>
      <w:pPr>
        <w:spacing w:line="360" w:lineRule="auto"/>
        <w:ind w:firstLine="470" w:firstLineChars="196"/>
        <w:rPr>
          <w:rFonts w:hint="eastAsia"/>
          <w:sz w:val="24"/>
        </w:rPr>
      </w:pPr>
      <w:r>
        <w:rPr>
          <w:rFonts w:hint="eastAsia"/>
          <w:sz w:val="24"/>
        </w:rPr>
        <w:t>（4）除通常的讲授课、习题课、实验课、讨论课外，打算安排哪些其它的教学液压动。</w:t>
      </w:r>
    </w:p>
    <w:p>
      <w:pPr>
        <w:spacing w:line="360" w:lineRule="auto"/>
        <w:ind w:firstLine="470" w:firstLineChars="196"/>
        <w:rPr>
          <w:rFonts w:hint="eastAsia"/>
          <w:sz w:val="24"/>
        </w:rPr>
      </w:pPr>
      <w:r>
        <w:rPr>
          <w:rFonts w:hint="eastAsia"/>
          <w:sz w:val="24"/>
        </w:rPr>
        <w:t>（5）对学生的其它要求。</w:t>
      </w:r>
    </w:p>
    <w:p>
      <w:pPr>
        <w:spacing w:line="360" w:lineRule="auto"/>
        <w:ind w:firstLine="470" w:firstLineChars="196"/>
        <w:rPr>
          <w:rFonts w:hint="eastAsia"/>
          <w:sz w:val="24"/>
        </w:rPr>
      </w:pPr>
      <w:r>
        <w:rPr>
          <w:rFonts w:hint="eastAsia"/>
          <w:sz w:val="24"/>
        </w:rPr>
        <w:t>（以上三项可按学期编写，也可按课程周期纺写。）</w:t>
      </w:r>
    </w:p>
    <w:p>
      <w:pPr>
        <w:spacing w:line="360" w:lineRule="auto"/>
        <w:ind w:firstLine="472" w:firstLineChars="197"/>
        <w:rPr>
          <w:rFonts w:hint="eastAsia"/>
          <w:sz w:val="24"/>
        </w:rPr>
      </w:pPr>
      <w:r>
        <w:rPr>
          <w:rFonts w:hint="eastAsia"/>
          <w:sz w:val="24"/>
        </w:rPr>
        <w:t>4、课程考核方案：</w:t>
      </w:r>
    </w:p>
    <w:p>
      <w:pPr>
        <w:spacing w:line="360" w:lineRule="auto"/>
        <w:ind w:firstLine="472" w:firstLineChars="197"/>
        <w:rPr>
          <w:rFonts w:hint="eastAsia"/>
          <w:sz w:val="24"/>
        </w:rPr>
      </w:pPr>
      <w:r>
        <w:rPr>
          <w:rFonts w:hint="eastAsia"/>
          <w:sz w:val="24"/>
        </w:rPr>
        <w:t>（1）考试时间：期末集中或者提前（第16周最后一次课）。</w:t>
      </w:r>
    </w:p>
    <w:p>
      <w:pPr>
        <w:spacing w:line="360" w:lineRule="auto"/>
        <w:ind w:firstLine="472" w:firstLineChars="197"/>
        <w:rPr>
          <w:rFonts w:hint="eastAsia"/>
          <w:sz w:val="24"/>
        </w:rPr>
      </w:pPr>
      <w:r>
        <w:rPr>
          <w:rFonts w:hint="eastAsia"/>
          <w:sz w:val="24"/>
        </w:rPr>
        <w:t>（2）课程考核形式（开、闭卷。口试，论文，调查研报告等，）</w:t>
      </w:r>
    </w:p>
    <w:p>
      <w:pPr>
        <w:spacing w:line="360" w:lineRule="auto"/>
        <w:ind w:firstLine="472" w:firstLineChars="197"/>
        <w:rPr>
          <w:rFonts w:hint="eastAsia"/>
          <w:sz w:val="24"/>
        </w:rPr>
      </w:pPr>
      <w:r>
        <w:rPr>
          <w:rFonts w:hint="eastAsia"/>
          <w:sz w:val="24"/>
        </w:rPr>
        <w:t>（3）考核内容、难易度，时间长度，所占课程成绩的比例，采用提前开卷的说明的理由。</w:t>
      </w:r>
    </w:p>
    <w:p>
      <w:pPr>
        <w:spacing w:line="360" w:lineRule="auto"/>
        <w:ind w:firstLine="475" w:firstLineChars="198"/>
        <w:rPr>
          <w:rFonts w:hint="eastAsia"/>
          <w:sz w:val="24"/>
        </w:rPr>
      </w:pPr>
      <w:r>
        <w:rPr>
          <w:rFonts w:hint="eastAsia"/>
          <w:sz w:val="24"/>
        </w:rPr>
        <w:t>5、教学进度（此项必须按学期填入附表，并向学生公布）。</w:t>
      </w:r>
    </w:p>
    <w:p>
      <w:pPr>
        <w:spacing w:line="360" w:lineRule="auto"/>
        <w:ind w:firstLine="472" w:firstLineChars="197"/>
        <w:rPr>
          <w:rFonts w:hint="eastAsia"/>
          <w:sz w:val="24"/>
        </w:rPr>
      </w:pPr>
      <w:r>
        <w:rPr>
          <w:rFonts w:hint="eastAsia"/>
          <w:sz w:val="24"/>
        </w:rPr>
        <w:t>6、需要提供的教具或其它教学条件。</w:t>
      </w:r>
    </w:p>
    <w:p>
      <w:pPr>
        <w:spacing w:line="360" w:lineRule="auto"/>
        <w:ind w:firstLine="472" w:firstLineChars="197"/>
        <w:rPr>
          <w:rFonts w:hint="eastAsia"/>
          <w:sz w:val="24"/>
        </w:rPr>
      </w:pPr>
      <w:r>
        <w:rPr>
          <w:rFonts w:hint="eastAsia"/>
          <w:sz w:val="24"/>
        </w:rPr>
        <w:t>二、安排专人辅导工作，从事实验室建设，备课，进修的教师也应制订计划，一般应写明工作、学习的主要任务、目标及落实措施。</w:t>
      </w:r>
    </w:p>
    <w:p>
      <w:pPr>
        <w:spacing w:line="360" w:lineRule="auto"/>
        <w:ind w:firstLine="472" w:firstLineChars="197"/>
        <w:rPr>
          <w:rFonts w:hint="eastAsia"/>
          <w:sz w:val="24"/>
        </w:rPr>
      </w:pPr>
      <w:r>
        <w:rPr>
          <w:rFonts w:hint="eastAsia"/>
          <w:sz w:val="24"/>
        </w:rPr>
        <w:t>三、本计划一式两份，一份自存，一份于开学后第一周内交教研组讨论审查、补充修改后于第二周内交系。</w:t>
      </w:r>
    </w:p>
    <w:p>
      <w:pPr>
        <w:spacing w:line="360" w:lineRule="auto"/>
        <w:ind w:firstLine="472" w:firstLineChars="197"/>
        <w:rPr>
          <w:rFonts w:hint="eastAsia"/>
          <w:sz w:val="24"/>
        </w:rPr>
      </w:pPr>
      <w:r>
        <w:rPr>
          <w:rFonts w:hint="eastAsia"/>
          <w:sz w:val="24"/>
        </w:rPr>
        <w:t>四、辅导教师的工作计划由主讲教师指导编写。</w:t>
      </w:r>
    </w:p>
    <w:p>
      <w:pPr>
        <w:spacing w:line="360" w:lineRule="auto"/>
        <w:ind w:firstLine="472" w:firstLineChars="197"/>
        <w:rPr>
          <w:rFonts w:hint="eastAsia"/>
          <w:sz w:val="24"/>
        </w:rPr>
      </w:pPr>
      <w:r>
        <w:rPr>
          <w:rFonts w:hint="eastAsia"/>
          <w:sz w:val="24"/>
        </w:rPr>
        <w:t>五、教师工作计划执行情况每学期应由教研室组长做两次检查记录。</w:t>
      </w:r>
    </w:p>
    <w:p>
      <w:pPr>
        <w:spacing w:line="360" w:lineRule="auto"/>
        <w:ind w:firstLine="472" w:firstLineChars="197"/>
        <w:rPr>
          <w:rFonts w:hint="eastAsia"/>
          <w:sz w:val="24"/>
        </w:rPr>
      </w:pPr>
      <w:r>
        <w:rPr>
          <w:rFonts w:hint="eastAsia"/>
          <w:sz w:val="24"/>
        </w:rPr>
        <w:t>六、教师工作计划一学年归档一次。</w:t>
      </w: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  <w:sz w:val="24"/>
        </w:rPr>
      </w:pPr>
    </w:p>
    <w:p>
      <w:pPr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教学工作计划内容</w:t>
      </w:r>
    </w:p>
    <w:p>
      <w:pPr>
        <w:pStyle w:val="2"/>
        <w:spacing w:line="360" w:lineRule="auto"/>
        <w:ind w:right="6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一、教学目的</w:t>
      </w:r>
    </w:p>
    <w:p>
      <w:pPr>
        <w:spacing w:line="420" w:lineRule="exact"/>
        <w:ind w:firstLine="470" w:firstLineChars="196"/>
        <w:outlineLvl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高等数学是师范院校非数学专业的一门公共基础课，通过本学期的教学使学生掌握微分方程、空间解析几何、多元函数微分学、多元函数积分学、无穷级数及其应用，为学生学习生物化学专业的基础课提供必要的数学工具，并为今后进一步学习提高打下一定的数学基础。</w:t>
      </w:r>
    </w:p>
    <w:p>
      <w:pPr>
        <w:spacing w:line="420" w:lineRule="exact"/>
        <w:ind w:firstLine="470" w:firstLineChars="196"/>
        <w:outlineLvl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通过本课程的学习着力培养学生逻辑思维能力，推理能力，计算能力，空间想象能力，理论联系实际的动手能力，并熟悉数学在其它方面的应用，培养对数学的兴趣和爱好。</w:t>
      </w:r>
    </w:p>
    <w:p>
      <w:pPr>
        <w:spacing w:line="420" w:lineRule="exact"/>
        <w:ind w:firstLine="470" w:firstLineChars="196"/>
        <w:outlineLvl w:val="0"/>
        <w:rPr>
          <w:rFonts w:hint="eastAsia" w:ascii="宋体" w:hAnsi="宋体"/>
          <w:sz w:val="24"/>
          <w:szCs w:val="24"/>
        </w:rPr>
      </w:pPr>
    </w:p>
    <w:p>
      <w:pPr>
        <w:pStyle w:val="2"/>
        <w:numPr>
          <w:ilvl w:val="0"/>
          <w:numId w:val="1"/>
        </w:numPr>
        <w:spacing w:line="360" w:lineRule="auto"/>
        <w:ind w:right="6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教学主要内容和学时分配</w:t>
      </w:r>
    </w:p>
    <w:p>
      <w:pPr>
        <w:pStyle w:val="2"/>
        <w:numPr>
          <w:ilvl w:val="0"/>
          <w:numId w:val="2"/>
        </w:numPr>
        <w:spacing w:line="360" w:lineRule="auto"/>
        <w:ind w:right="6" w:firstLine="482" w:firstLineChars="20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微分方程（10课时）</w:t>
      </w:r>
    </w:p>
    <w:p>
      <w:pPr>
        <w:pStyle w:val="2"/>
        <w:spacing w:line="360" w:lineRule="auto"/>
        <w:ind w:right="6"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</w:rPr>
        <w:t xml:space="preserve">.1 </w:t>
      </w:r>
      <w:r>
        <w:rPr>
          <w:rFonts w:hint="eastAsia" w:ascii="宋体" w:hAnsi="宋体"/>
          <w:sz w:val="24"/>
          <w:szCs w:val="24"/>
          <w:lang w:val="en-US" w:eastAsia="zh-CN"/>
        </w:rPr>
        <w:t>微分方程的基本概念</w:t>
      </w:r>
    </w:p>
    <w:p>
      <w:pPr>
        <w:pStyle w:val="2"/>
        <w:spacing w:line="360" w:lineRule="auto"/>
        <w:ind w:right="6"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</w:rPr>
        <w:t xml:space="preserve">.2 </w:t>
      </w:r>
      <w:r>
        <w:rPr>
          <w:rFonts w:hint="eastAsia" w:ascii="宋体" w:hAnsi="宋体"/>
          <w:sz w:val="24"/>
          <w:szCs w:val="24"/>
          <w:lang w:val="en-US" w:eastAsia="zh-CN"/>
        </w:rPr>
        <w:t>可分离变量的微分方程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</w:rPr>
        <w:t xml:space="preserve">.3 </w:t>
      </w:r>
      <w:r>
        <w:rPr>
          <w:rFonts w:hint="eastAsia" w:ascii="宋体" w:hAnsi="宋体"/>
          <w:sz w:val="24"/>
          <w:szCs w:val="24"/>
          <w:lang w:val="en-US" w:eastAsia="zh-CN"/>
        </w:rPr>
        <w:t>齐次</w:t>
      </w:r>
      <w:r>
        <w:rPr>
          <w:rFonts w:hint="eastAsia" w:ascii="宋体" w:hAnsi="宋体"/>
          <w:sz w:val="24"/>
          <w:szCs w:val="24"/>
        </w:rPr>
        <w:t>方程</w:t>
      </w:r>
    </w:p>
    <w:p>
      <w:pPr>
        <w:pStyle w:val="2"/>
        <w:spacing w:line="360" w:lineRule="auto"/>
        <w:ind w:right="6"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</w:rPr>
        <w:t xml:space="preserve">.4 </w:t>
      </w:r>
      <w:r>
        <w:rPr>
          <w:rFonts w:hint="eastAsia" w:ascii="宋体" w:hAnsi="宋体"/>
          <w:sz w:val="24"/>
          <w:szCs w:val="24"/>
          <w:lang w:val="en-US" w:eastAsia="zh-CN"/>
        </w:rPr>
        <w:t>一阶线性微分方程</w:t>
      </w:r>
    </w:p>
    <w:p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</w:rPr>
        <w:t xml:space="preserve">.5 </w:t>
      </w:r>
      <w:r>
        <w:rPr>
          <w:rFonts w:hint="eastAsia" w:ascii="宋体" w:hAnsi="宋体"/>
          <w:sz w:val="24"/>
          <w:szCs w:val="24"/>
          <w:lang w:val="en-US" w:eastAsia="zh-CN"/>
        </w:rPr>
        <w:t>可降阶的高阶微分方程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7.6 高阶线性微分方程</w:t>
      </w:r>
    </w:p>
    <w:p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7.7 常系数齐次线性微分方程</w:t>
      </w:r>
    </w:p>
    <w:p>
      <w:pPr>
        <w:pStyle w:val="2"/>
        <w:numPr>
          <w:numId w:val="0"/>
        </w:numPr>
        <w:spacing w:line="360" w:lineRule="auto"/>
        <w:ind w:right="6" w:rightChars="0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pStyle w:val="2"/>
        <w:spacing w:line="360" w:lineRule="auto"/>
        <w:ind w:right="6" w:firstLine="482" w:firstLineChars="20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第8章 空间解析几何与向量代数（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/>
          <w:b/>
          <w:bCs/>
          <w:sz w:val="24"/>
          <w:szCs w:val="24"/>
        </w:rPr>
        <w:t>课时）</w:t>
      </w:r>
    </w:p>
    <w:p>
      <w:pPr>
        <w:pStyle w:val="2"/>
        <w:spacing w:line="360" w:lineRule="auto"/>
        <w:ind w:right="6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8.1 向量及其线性运算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8.2 向量的乘法运算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8.3 平面及其方程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8.4 空间直线及其方程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8.5 曲面</w:t>
      </w:r>
      <w:r>
        <w:rPr>
          <w:rFonts w:hint="eastAsia" w:ascii="宋体" w:hAnsi="宋体"/>
          <w:sz w:val="24"/>
          <w:szCs w:val="24"/>
          <w:lang w:val="en-US" w:eastAsia="zh-CN"/>
        </w:rPr>
        <w:t>与曲线</w:t>
      </w:r>
    </w:p>
    <w:p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pStyle w:val="2"/>
        <w:spacing w:line="360" w:lineRule="auto"/>
        <w:ind w:right="6" w:firstLine="482" w:firstLineChars="20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第9章 多元函数微分法及其应用（1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bCs/>
          <w:sz w:val="24"/>
          <w:szCs w:val="24"/>
        </w:rPr>
        <w:t>课时）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9.1 多元函数的基本概念</w:t>
      </w:r>
    </w:p>
    <w:p>
      <w:pPr>
        <w:pStyle w:val="2"/>
        <w:spacing w:line="360" w:lineRule="auto"/>
        <w:ind w:right="6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9.2 偏导数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9.3 全微分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9.4 多元复合函数的求导法则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9.5 隐函数求导公式</w:t>
      </w:r>
    </w:p>
    <w:p>
      <w:pPr>
        <w:pStyle w:val="2"/>
        <w:tabs>
          <w:tab w:val="left" w:pos="3465"/>
        </w:tabs>
        <w:spacing w:line="360" w:lineRule="auto"/>
        <w:ind w:right="6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9.6 多元函数微分学的几何应用</w:t>
      </w:r>
      <w:r>
        <w:rPr>
          <w:rFonts w:ascii="宋体" w:hAnsi="宋体"/>
          <w:sz w:val="24"/>
          <w:szCs w:val="24"/>
        </w:rPr>
        <w:tab/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9.8 多元函数的极值</w:t>
      </w:r>
      <w:r>
        <w:rPr>
          <w:rFonts w:hint="eastAsia" w:ascii="宋体" w:hAnsi="宋体"/>
          <w:sz w:val="24"/>
          <w:szCs w:val="24"/>
          <w:lang w:eastAsia="zh-CN"/>
        </w:rPr>
        <w:t>及其求法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  <w:lang w:eastAsia="zh-CN"/>
        </w:rPr>
      </w:pPr>
    </w:p>
    <w:p>
      <w:pPr>
        <w:pStyle w:val="2"/>
        <w:spacing w:line="360" w:lineRule="auto"/>
        <w:ind w:right="6" w:firstLine="482" w:firstLineChars="20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第10章 重积分（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/>
          <w:b/>
          <w:bCs/>
          <w:sz w:val="24"/>
          <w:szCs w:val="24"/>
        </w:rPr>
        <w:t>课时）</w:t>
      </w:r>
    </w:p>
    <w:p>
      <w:pPr>
        <w:pStyle w:val="2"/>
        <w:spacing w:line="360" w:lineRule="auto"/>
        <w:ind w:right="6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10.1 二重积分的概念与性质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10.2 二重积分的计算</w:t>
      </w:r>
    </w:p>
    <w:p>
      <w:pPr>
        <w:pStyle w:val="2"/>
        <w:spacing w:line="360" w:lineRule="auto"/>
        <w:ind w:right="6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10.4 重积分的应用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</w:p>
    <w:p>
      <w:pPr>
        <w:pStyle w:val="2"/>
        <w:spacing w:line="360" w:lineRule="auto"/>
        <w:ind w:right="6" w:firstLine="482" w:firstLineChars="20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第11章 曲线积分与曲面积分（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/>
          <w:b/>
          <w:bCs/>
          <w:sz w:val="24"/>
          <w:szCs w:val="24"/>
        </w:rPr>
        <w:t>课时）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11.1 对弧长的曲线积分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11.2 对坐标的曲线积分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11.3 格林公式及其应用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</w:p>
    <w:p>
      <w:pPr>
        <w:pStyle w:val="2"/>
        <w:spacing w:line="360" w:lineRule="auto"/>
        <w:ind w:right="6" w:firstLine="482" w:firstLineChars="20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第12章 无穷级数（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/>
          <w:b/>
          <w:bCs/>
          <w:sz w:val="24"/>
          <w:szCs w:val="24"/>
        </w:rPr>
        <w:t>课时）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12.1 </w:t>
      </w:r>
      <w:r>
        <w:rPr>
          <w:rFonts w:hint="eastAsia" w:ascii="宋体" w:hAnsi="宋体"/>
          <w:sz w:val="24"/>
          <w:szCs w:val="24"/>
          <w:lang w:eastAsia="zh-CN"/>
        </w:rPr>
        <w:t>常</w:t>
      </w:r>
      <w:r>
        <w:rPr>
          <w:rFonts w:hint="eastAsia" w:ascii="宋体" w:hAnsi="宋体"/>
          <w:sz w:val="24"/>
          <w:szCs w:val="24"/>
        </w:rPr>
        <w:t>数项级数的概念和性质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12.2 </w:t>
      </w:r>
      <w:r>
        <w:rPr>
          <w:rFonts w:hint="eastAsia" w:ascii="宋体" w:hAnsi="宋体"/>
          <w:sz w:val="24"/>
          <w:szCs w:val="24"/>
          <w:lang w:eastAsia="zh-CN"/>
        </w:rPr>
        <w:t>常</w:t>
      </w:r>
      <w:r>
        <w:rPr>
          <w:rFonts w:hint="eastAsia" w:ascii="宋体" w:hAnsi="宋体"/>
          <w:sz w:val="24"/>
          <w:szCs w:val="24"/>
        </w:rPr>
        <w:t>数项级数的审敛法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12.3 幂级数</w:t>
      </w:r>
    </w:p>
    <w:p>
      <w:pPr>
        <w:pStyle w:val="2"/>
        <w:spacing w:line="360" w:lineRule="auto"/>
        <w:ind w:right="6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</w:p>
    <w:p>
      <w:pPr>
        <w:pStyle w:val="2"/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三、教材、参考书</w:t>
      </w:r>
    </w:p>
    <w:p>
      <w:pPr>
        <w:pStyle w:val="2"/>
        <w:spacing w:line="360" w:lineRule="auto"/>
        <w:ind w:right="6" w:firstLine="482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1.选用教材</w:t>
      </w:r>
      <w:r>
        <w:rPr>
          <w:rFonts w:hint="eastAsia" w:ascii="宋体" w:hAnsi="宋体"/>
          <w:sz w:val="24"/>
          <w:szCs w:val="24"/>
        </w:rPr>
        <w:t>：《高等数学》下，第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版，</w:t>
      </w:r>
      <w:r>
        <w:rPr>
          <w:rFonts w:hint="eastAsia" w:ascii="宋体" w:hAnsi="宋体"/>
          <w:sz w:val="24"/>
          <w:szCs w:val="24"/>
          <w:lang w:val="en-US" w:eastAsia="zh-CN"/>
        </w:rPr>
        <w:t>韦鹏程等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四川大学</w:t>
      </w:r>
      <w:r>
        <w:rPr>
          <w:rFonts w:hint="eastAsia" w:ascii="宋体" w:hAnsi="宋体"/>
          <w:sz w:val="24"/>
          <w:szCs w:val="24"/>
          <w:lang w:eastAsia="zh-CN"/>
        </w:rPr>
        <w:t>出</w:t>
      </w:r>
      <w:r>
        <w:rPr>
          <w:rFonts w:hint="eastAsia" w:ascii="宋体" w:hAnsi="宋体"/>
          <w:sz w:val="24"/>
          <w:szCs w:val="24"/>
        </w:rPr>
        <w:t>版社，20</w:t>
      </w:r>
      <w:r>
        <w:rPr>
          <w:rFonts w:hint="eastAsia" w:ascii="宋体" w:hAnsi="宋体"/>
          <w:sz w:val="24"/>
          <w:szCs w:val="24"/>
          <w:lang w:val="en-US" w:eastAsia="zh-CN"/>
        </w:rPr>
        <w:t>20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.</w:t>
      </w:r>
    </w:p>
    <w:p>
      <w:pPr>
        <w:ind w:firstLine="482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2.参考书目</w:t>
      </w:r>
      <w:r>
        <w:rPr>
          <w:rFonts w:hint="eastAsia" w:ascii="宋体" w:hAnsi="宋体"/>
          <w:sz w:val="24"/>
          <w:szCs w:val="24"/>
        </w:rPr>
        <w:t>：</w:t>
      </w:r>
    </w:p>
    <w:p>
      <w:pPr>
        <w:pStyle w:val="2"/>
        <w:spacing w:line="360" w:lineRule="auto"/>
        <w:ind w:right="6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)《高等数学》下，第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</w:rPr>
        <w:t>版，</w:t>
      </w:r>
      <w:r>
        <w:rPr>
          <w:rFonts w:hint="eastAsia" w:ascii="宋体" w:hAnsi="宋体"/>
          <w:sz w:val="24"/>
          <w:szCs w:val="24"/>
          <w:lang w:eastAsia="zh-CN"/>
        </w:rPr>
        <w:t>同济大学数学系</w:t>
      </w:r>
      <w:r>
        <w:rPr>
          <w:rFonts w:hint="eastAsia" w:ascii="宋体" w:hAnsi="宋体"/>
          <w:sz w:val="24"/>
          <w:szCs w:val="24"/>
        </w:rPr>
        <w:t>编，</w:t>
      </w:r>
      <w:r>
        <w:rPr>
          <w:rFonts w:hint="eastAsia" w:ascii="宋体" w:hAnsi="宋体"/>
          <w:sz w:val="24"/>
          <w:szCs w:val="24"/>
          <w:lang w:eastAsia="zh-CN"/>
        </w:rPr>
        <w:t>高等教育出</w:t>
      </w:r>
      <w:r>
        <w:rPr>
          <w:rFonts w:hint="eastAsia" w:ascii="宋体" w:hAnsi="宋体"/>
          <w:sz w:val="24"/>
          <w:szCs w:val="24"/>
        </w:rPr>
        <w:t>版社，20</w:t>
      </w:r>
      <w:r>
        <w:rPr>
          <w:rFonts w:hint="eastAsia" w:ascii="宋体" w:hAnsi="宋体"/>
          <w:sz w:val="24"/>
          <w:szCs w:val="24"/>
          <w:lang w:val="en-US" w:eastAsia="zh-CN"/>
        </w:rPr>
        <w:t>23</w:t>
      </w:r>
      <w:r>
        <w:rPr>
          <w:rFonts w:hint="eastAsia" w:ascii="宋体" w:hAnsi="宋体"/>
          <w:sz w:val="24"/>
          <w:szCs w:val="24"/>
        </w:rPr>
        <w:t>.</w:t>
      </w:r>
    </w:p>
    <w:p>
      <w:pPr>
        <w:pStyle w:val="2"/>
        <w:spacing w:line="360" w:lineRule="auto"/>
        <w:ind w:left="479" w:leftChars="228" w:right="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)四川大学数学系高等数学教研室.高等数学[M].3版.北京:高等教育出版社,1995.</w:t>
      </w:r>
    </w:p>
    <w:p>
      <w:pPr>
        <w:pStyle w:val="2"/>
        <w:spacing w:line="360" w:lineRule="auto"/>
        <w:ind w:left="719" w:leftChars="228" w:right="6" w:hanging="240" w:hanging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)四川大学数学学院高等数学教研室.高等数学习题同步教材[M].成都：四川大学出版社,2012.</w:t>
      </w:r>
    </w:p>
    <w:p>
      <w:pPr>
        <w:pStyle w:val="2"/>
        <w:spacing w:line="360" w:lineRule="auto"/>
        <w:ind w:left="479" w:leftChars="228" w:right="6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)清华大学数学教研组.高等数学(基础部分)[M].北京:高等教育出版社,2014.</w:t>
      </w:r>
    </w:p>
    <w:p>
      <w:pPr>
        <w:pStyle w:val="2"/>
        <w:spacing w:line="360" w:lineRule="auto"/>
        <w:ind w:left="479" w:leftChars="228" w:right="6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)同济大学数学教研室.高等数学[M].4版.北京:高等教育出版社,1996.</w:t>
      </w:r>
    </w:p>
    <w:p>
      <w:pPr>
        <w:pStyle w:val="2"/>
        <w:spacing w:line="360" w:lineRule="auto"/>
        <w:ind w:left="479" w:leftChars="228" w:right="6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)詹姆斯.斯图尔特.微积分[M].6版.张乃岳,译.北京:中国人民大学出版社,2009.</w:t>
      </w:r>
    </w:p>
    <w:p>
      <w:pPr>
        <w:pStyle w:val="2"/>
        <w:spacing w:line="360" w:lineRule="auto"/>
        <w:ind w:left="479" w:leftChars="228" w:right="6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</w:rPr>
        <w:t>)李文林.数学史教程[M].北京:高等教育出版社，2000.</w:t>
      </w:r>
    </w:p>
    <w:p>
      <w:pPr>
        <w:pStyle w:val="2"/>
        <w:spacing w:line="360" w:lineRule="auto"/>
        <w:ind w:left="479" w:leftChars="228" w:right="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</w:rPr>
        <w:t>)朱家生.数学史[M].北京:高等教育出版社，2004.</w:t>
      </w:r>
    </w:p>
    <w:p>
      <w:pPr>
        <w:pStyle w:val="2"/>
        <w:spacing w:line="360" w:lineRule="auto"/>
        <w:ind w:left="479" w:leftChars="228" w:right="6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szCs w:val="24"/>
        </w:rPr>
        <w:t>四、</w:t>
      </w:r>
      <w:r>
        <w:rPr>
          <w:rFonts w:hint="eastAsia"/>
          <w:b/>
          <w:sz w:val="24"/>
        </w:rPr>
        <w:t>改革教学方法，提高教学质量的具体措施</w:t>
      </w:r>
    </w:p>
    <w:p>
      <w:pPr>
        <w:spacing w:line="420" w:lineRule="exact"/>
        <w:ind w:firstLine="470" w:firstLineChars="196"/>
        <w:outlineLvl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1.采用以原理为中心的讲课模式，即：</w:t>
      </w:r>
    </w:p>
    <w:p>
      <w:pPr>
        <w:spacing w:line="420" w:lineRule="exact"/>
        <w:ind w:firstLine="470" w:firstLineChars="196"/>
        <w:outlineLvl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一般性概括→对一般性概括的证明→解释、类比、例证、演示、实验→对一般性概括的复述→总结</w:t>
      </w:r>
    </w:p>
    <w:p>
      <w:pPr>
        <w:spacing w:line="420" w:lineRule="exact"/>
        <w:ind w:firstLine="470" w:firstLineChars="196"/>
        <w:outlineLvl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2.处理教材</w:t>
      </w:r>
    </w:p>
    <w:p>
      <w:pPr>
        <w:spacing w:line="420" w:lineRule="exact"/>
        <w:ind w:firstLine="470" w:firstLineChars="196"/>
        <w:outlineLvl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讲课前要深入钻研教学大纲、教材，分析教学重点、难点，在了解学生的学习基础、兴趣、学风、纪律等各种因素的基础上，从实际出发，确定相应的教学手段，根据教学内容本身的逻辑体系，深入研究教法，确定如何做到教师的讲解、学生的练习与教学手段的有机结合，并且应当及时地收集反馈信息，进行总结，改进教法。</w:t>
      </w:r>
    </w:p>
    <w:p>
      <w:pPr>
        <w:spacing w:line="420" w:lineRule="exact"/>
        <w:ind w:firstLine="470" w:firstLineChars="196"/>
        <w:outlineLvl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3.教学方法</w:t>
      </w:r>
    </w:p>
    <w:p>
      <w:pPr>
        <w:spacing w:line="420" w:lineRule="exact"/>
        <w:ind w:firstLine="470" w:firstLineChars="196"/>
        <w:outlineLvl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采用讲授与讨论相结合的交互教学手段，调动学生积极性；采用案例教学法，增加学生兴趣 ；使用网络教学环境，将授课从课堂延伸到课外；教学资料的电子化，提高教学效果。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五、作业及成绩考核方式</w:t>
      </w:r>
    </w:p>
    <w:p>
      <w:pPr>
        <w:spacing w:line="420" w:lineRule="exact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（一）作业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1.作业处置：每学期批改次数不少于4次，每次批改数量不少于1/2.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2.辅导：随机个别或集体答疑.</w:t>
      </w:r>
    </w:p>
    <w:p>
      <w:pPr>
        <w:pStyle w:val="2"/>
        <w:spacing w:line="360" w:lineRule="auto"/>
        <w:ind w:right="6"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3.要求: 多读参考书, 尽量独立完成教材上全部习题.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（二）考核方式</w:t>
      </w:r>
    </w:p>
    <w:p>
      <w:pPr>
        <w:spacing w:line="42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1.考试时间：120分钟；</w:t>
      </w:r>
    </w:p>
    <w:p>
      <w:pPr>
        <w:spacing w:line="42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2.考核方式：期末闭卷考试；</w:t>
      </w:r>
    </w:p>
    <w:p>
      <w:pPr>
        <w:spacing w:line="42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3.总成绩其中平时成绩</w:t>
      </w:r>
      <w:r>
        <w:rPr>
          <w:rFonts w:hint="eastAsia" w:ascii="宋体" w:hAnsi="宋体"/>
          <w:b/>
          <w:bCs/>
          <w:sz w:val="24"/>
          <w:szCs w:val="24"/>
        </w:rPr>
        <w:t>（含平时作业成绩、平时测验成绩、课堂表现</w:t>
      </w:r>
      <w:r>
        <w:rPr>
          <w:rFonts w:hint="eastAsia" w:ascii="宋体" w:hAnsi="宋体"/>
          <w:sz w:val="24"/>
          <w:szCs w:val="24"/>
        </w:rPr>
        <w:t>）占30%、期末考试成绩占70%，成绩记载采用百分制。</w:t>
      </w:r>
    </w:p>
    <w:p>
      <w:pPr>
        <w:spacing w:line="360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六、教学进度</w:t>
      </w:r>
    </w:p>
    <w:p>
      <w:pPr>
        <w:spacing w:line="720" w:lineRule="exact"/>
        <w:jc w:val="center"/>
        <w:rPr>
          <w:rFonts w:hint="eastAsia" w:ascii="宋体" w:hAnsi="宋体"/>
          <w:b/>
          <w:sz w:val="52"/>
        </w:rPr>
      </w:pPr>
      <w:r>
        <w:rPr>
          <w:rFonts w:hint="eastAsia" w:ascii="宋体" w:hAnsi="宋体"/>
          <w:b/>
          <w:sz w:val="52"/>
        </w:rPr>
        <w:t>教学进度表</w:t>
      </w:r>
    </w:p>
    <w:p>
      <w:pPr>
        <w:jc w:val="center"/>
        <w:rPr>
          <w:rFonts w:hint="eastAsia" w:ascii="宋体" w:hAnsi="宋体"/>
          <w:sz w:val="10"/>
          <w:szCs w:val="10"/>
        </w:rPr>
      </w:pPr>
    </w:p>
    <w:tbl>
      <w:tblPr>
        <w:tblStyle w:val="6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3547"/>
        <w:gridCol w:w="684"/>
        <w:gridCol w:w="684"/>
        <w:gridCol w:w="684"/>
        <w:gridCol w:w="684"/>
        <w:gridCol w:w="684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454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60" w:lineRule="exact"/>
              <w:jc w:val="center"/>
            </w:pP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周</w:t>
            </w:r>
          </w:p>
          <w:p>
            <w:pPr>
              <w:spacing w:line="260" w:lineRule="exact"/>
              <w:jc w:val="center"/>
            </w:pP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547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计划进度</w:t>
            </w:r>
          </w:p>
        </w:tc>
        <w:tc>
          <w:tcPr>
            <w:tcW w:w="3420" w:type="dxa"/>
            <w:gridSpan w:val="5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课时分配</w:t>
            </w:r>
          </w:p>
        </w:tc>
        <w:tc>
          <w:tcPr>
            <w:tcW w:w="94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   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454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547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widowControl/>
              <w:jc w:val="center"/>
            </w:pP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讲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授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课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习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题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课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课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堂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讨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论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实践教学</w:t>
            </w:r>
          </w:p>
        </w:tc>
        <w:tc>
          <w:tcPr>
            <w:tcW w:w="684" w:type="dxa"/>
            <w:tcBorders>
              <w:top w:val="single" w:color="000000" w:sz="4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作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业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形</w:t>
            </w:r>
          </w:p>
          <w:p>
            <w:pPr>
              <w:spacing w:line="260" w:lineRule="exact"/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945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第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 xml:space="preserve">章 </w:t>
            </w:r>
            <w:r>
              <w:rPr>
                <w:rFonts w:hint="eastAsia"/>
                <w:bCs/>
                <w:szCs w:val="21"/>
                <w:lang w:val="en-US" w:eastAsia="zh-CN"/>
              </w:rPr>
              <w:t>微分方程</w:t>
            </w:r>
          </w:p>
          <w:p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 xml:space="preserve">.1 </w:t>
            </w:r>
            <w:r>
              <w:rPr>
                <w:rFonts w:hint="eastAsia"/>
                <w:bCs/>
                <w:szCs w:val="21"/>
                <w:lang w:val="en-US" w:eastAsia="zh-CN"/>
              </w:rPr>
              <w:t>微分方程的基本概念</w:t>
            </w:r>
          </w:p>
          <w:p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 xml:space="preserve">.2 </w:t>
            </w:r>
            <w:r>
              <w:rPr>
                <w:rFonts w:hint="eastAsia"/>
                <w:bCs/>
                <w:szCs w:val="21"/>
                <w:lang w:val="en-US" w:eastAsia="zh-CN"/>
              </w:rPr>
              <w:t>可分离变量的微分方程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7.3 齐次方程</w:t>
            </w:r>
          </w:p>
          <w:p/>
        </w:tc>
        <w:tc>
          <w:tcPr>
            <w:tcW w:w="684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>
            <w:pPr>
              <w:ind w:firstLine="105" w:firstLineChar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7.4 一阶线性微分方程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7.5 可降阶的高阶微分方程</w:t>
            </w:r>
          </w:p>
          <w:p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6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  <w:lang w:val="en-US" w:eastAsia="zh-CN"/>
              </w:rPr>
              <w:t>高阶线性微分方程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7.7 常系数齐次线性微分方程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第8章 空间解析几何与向量代数</w:t>
            </w:r>
          </w:p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8.1 向量及其线性运算</w:t>
            </w:r>
          </w:p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8.2 向量的乘法运算</w:t>
            </w:r>
          </w:p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684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>
            <w:pPr>
              <w:ind w:firstLine="105" w:firstLineChar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8.3 平面及其方程</w:t>
            </w:r>
          </w:p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8.4 空间直线及其方程</w:t>
            </w:r>
          </w:p>
          <w:p>
            <w:pPr>
              <w:pStyle w:val="2"/>
              <w:spacing w:line="360" w:lineRule="auto"/>
              <w:ind w:right="6"/>
              <w:rPr>
                <w:rFonts w:hint="default" w:eastAsia="宋体"/>
                <w:bCs/>
                <w:szCs w:val="21"/>
                <w:lang w:val="en-US" w:eastAsia="zh-CN"/>
              </w:rPr>
            </w:pPr>
          </w:p>
        </w:tc>
        <w:tc>
          <w:tcPr>
            <w:tcW w:w="684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>
            <w:pPr>
              <w:ind w:firstLine="105" w:firstLineChar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8.</w:t>
            </w:r>
            <w:r>
              <w:rPr>
                <w:rFonts w:hint="eastAsia"/>
                <w:bCs/>
                <w:szCs w:val="21"/>
                <w:lang w:val="en-US" w:eastAsia="zh-CN"/>
              </w:rPr>
              <w:t>5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  <w:lang w:val="en-US" w:eastAsia="zh-CN"/>
              </w:rPr>
              <w:t>曲面与曲线</w:t>
            </w:r>
          </w:p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第9章 多元函数微分法及其应用</w:t>
            </w:r>
          </w:p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9.1 多元函数的基本概念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84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9.2 偏导数</w:t>
            </w:r>
          </w:p>
          <w:p>
            <w:pPr>
              <w:pStyle w:val="2"/>
              <w:spacing w:line="360" w:lineRule="auto"/>
              <w:ind w:right="6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9.3 全微分</w:t>
            </w:r>
          </w:p>
        </w:tc>
        <w:tc>
          <w:tcPr>
            <w:tcW w:w="684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9.4 多元复合函数的求导法则</w:t>
            </w:r>
          </w:p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9.5 隐函数求导公式</w:t>
            </w:r>
          </w:p>
        </w:tc>
        <w:tc>
          <w:tcPr>
            <w:tcW w:w="684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/>
                <w:bCs/>
                <w:szCs w:val="21"/>
              </w:rPr>
              <w:t>9.6 多元函数微分学的几何应用</w:t>
            </w:r>
          </w:p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9.8 多元函数的极值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及其求法</w:t>
            </w:r>
          </w:p>
        </w:tc>
        <w:tc>
          <w:tcPr>
            <w:tcW w:w="684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第10章 重积分</w:t>
            </w:r>
          </w:p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10.1 二重积分的概念与性质</w:t>
            </w:r>
          </w:p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10.2 二重积分的计算</w:t>
            </w:r>
          </w:p>
          <w:p>
            <w:pPr>
              <w:rPr>
                <w:bCs/>
                <w:szCs w:val="21"/>
              </w:rPr>
            </w:pPr>
          </w:p>
        </w:tc>
        <w:tc>
          <w:tcPr>
            <w:tcW w:w="684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10.2 二重积分的计算</w:t>
            </w:r>
          </w:p>
          <w:p>
            <w:pPr>
              <w:rPr>
                <w:bCs/>
                <w:szCs w:val="21"/>
              </w:rPr>
            </w:pPr>
          </w:p>
        </w:tc>
        <w:tc>
          <w:tcPr>
            <w:tcW w:w="684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10.4 重积分的应用</w:t>
            </w:r>
          </w:p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第11章 曲线积分与曲面积分</w:t>
            </w:r>
          </w:p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11.1 对弧长的曲线积分</w:t>
            </w:r>
          </w:p>
          <w:p>
            <w:pPr>
              <w:rPr>
                <w:rFonts w:hint="default"/>
                <w:bCs/>
                <w:szCs w:val="21"/>
                <w:lang w:val="en-US" w:eastAsia="zh-CN"/>
              </w:rPr>
            </w:pP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11.2 对坐标的曲线积分</w:t>
            </w:r>
          </w:p>
          <w:p>
            <w:pPr>
              <w:rPr>
                <w:bCs/>
                <w:szCs w:val="21"/>
              </w:rPr>
            </w:pPr>
          </w:p>
        </w:tc>
        <w:tc>
          <w:tcPr>
            <w:tcW w:w="684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11.3 格林公式及其应用</w:t>
            </w:r>
          </w:p>
        </w:tc>
        <w:tc>
          <w:tcPr>
            <w:tcW w:w="684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第12章 无穷级数</w:t>
            </w:r>
          </w:p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12.1 数项级数的概念和性质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12.2 数项级数的审敛法</w:t>
            </w:r>
          </w:p>
        </w:tc>
        <w:tc>
          <w:tcPr>
            <w:tcW w:w="684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12.3 幂级数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课后练习</w:t>
            </w:r>
          </w:p>
        </w:tc>
        <w:tc>
          <w:tcPr>
            <w:tcW w:w="945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Cs/>
                <w:szCs w:val="21"/>
              </w:rPr>
              <w:t>合计</w:t>
            </w:r>
          </w:p>
        </w:tc>
        <w:tc>
          <w:tcPr>
            <w:tcW w:w="3547" w:type="dxa"/>
            <w:tcBorders>
              <w:left w:val="single" w:color="000000" w:sz="4" w:space="0"/>
            </w:tcBorders>
            <w:vAlign w:val="center"/>
          </w:tcPr>
          <w:p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64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3</w:t>
            </w:r>
            <w:r>
              <w:rPr>
                <w:rFonts w:hint="eastAsia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</w:p>
        </w:tc>
        <w:tc>
          <w:tcPr>
            <w:tcW w:w="6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课堂练习+</w:t>
            </w:r>
          </w:p>
          <w:p>
            <w:pPr>
              <w:jc w:val="center"/>
            </w:pPr>
            <w:r>
              <w:rPr>
                <w:rFonts w:hint="eastAsia"/>
              </w:rPr>
              <w:t>课后</w:t>
            </w:r>
          </w:p>
          <w:p>
            <w:pPr>
              <w:jc w:val="center"/>
            </w:pPr>
            <w:r>
              <w:rPr>
                <w:rFonts w:hint="eastAsia"/>
              </w:rPr>
              <w:t>练习</w:t>
            </w:r>
          </w:p>
        </w:tc>
        <w:tc>
          <w:tcPr>
            <w:tcW w:w="945" w:type="dxa"/>
            <w:vAlign w:val="center"/>
          </w:tcPr>
          <w:p/>
        </w:tc>
      </w:tr>
    </w:tbl>
    <w:p>
      <w:pPr>
        <w:rPr>
          <w:rFonts w:hint="eastAsia" w:ascii="宋体" w:hAnsi="宋体"/>
          <w:sz w:val="24"/>
        </w:rPr>
      </w:pPr>
    </w:p>
    <w:p>
      <w:pPr>
        <w:spacing w:line="720" w:lineRule="exact"/>
        <w:rPr>
          <w:rFonts w:ascii="宋体" w:hAnsi="宋体"/>
          <w:sz w:val="52"/>
        </w:rPr>
      </w:pPr>
      <w:r>
        <w:rPr>
          <w:rFonts w:hint="eastAsia" w:ascii="宋体" w:hAnsi="宋体"/>
          <w:sz w:val="44"/>
        </w:rPr>
        <w:t>教研室审查意见：</w:t>
      </w:r>
      <w:r>
        <w:rPr>
          <w:rFonts w:ascii="宋体" w:hAnsi="宋体"/>
          <w:sz w:val="52"/>
        </w:rPr>
        <w:t xml:space="preserve"> </w:t>
      </w:r>
    </w:p>
    <w:p>
      <w:pPr>
        <w:spacing w:line="720" w:lineRule="exact"/>
        <w:jc w:val="righ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                            </w:t>
      </w:r>
    </w:p>
    <w:p>
      <w:pPr>
        <w:spacing w:line="720" w:lineRule="exact"/>
        <w:jc w:val="righ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教研室主任签名：                                                     2021年 月  日</w:t>
      </w:r>
    </w:p>
    <w:p>
      <w:pPr>
        <w:wordWrap w:val="0"/>
        <w:spacing w:line="720" w:lineRule="exact"/>
        <w:ind w:right="26"/>
        <w:jc w:val="center"/>
        <w:rPr>
          <w:rFonts w:hint="eastAsia" w:ascii="宋体" w:hAnsi="宋体"/>
          <w:sz w:val="32"/>
          <w:szCs w:val="32"/>
        </w:rPr>
      </w:pPr>
    </w:p>
    <w:p>
      <w:pPr>
        <w:spacing w:line="720" w:lineRule="exact"/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44"/>
        </w:rPr>
        <w:t>执行情况检查记载</w:t>
      </w:r>
    </w:p>
    <w:p>
      <w:pPr>
        <w:spacing w:line="720" w:lineRule="exact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第一次:</w:t>
      </w:r>
    </w:p>
    <w:p>
      <w:pPr>
        <w:spacing w:line="720" w:lineRule="exact"/>
        <w:rPr>
          <w:rFonts w:hint="eastAsia" w:ascii="宋体" w:hAnsi="宋体"/>
          <w:sz w:val="32"/>
        </w:rPr>
      </w:pPr>
    </w:p>
    <w:p>
      <w:pPr>
        <w:spacing w:line="720" w:lineRule="exact"/>
        <w:rPr>
          <w:rFonts w:hint="eastAsia" w:ascii="宋体" w:hAnsi="宋体"/>
          <w:sz w:val="32"/>
        </w:rPr>
      </w:pPr>
    </w:p>
    <w:p>
      <w:pPr>
        <w:spacing w:line="720" w:lineRule="exact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 xml:space="preserve">                           教研室主任签名: </w:t>
      </w:r>
    </w:p>
    <w:p>
      <w:pPr>
        <w:spacing w:line="720" w:lineRule="exact"/>
        <w:ind w:firstLine="4800" w:firstLineChars="1500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20   年     月     日</w:t>
      </w:r>
    </w:p>
    <w:p>
      <w:pPr>
        <w:spacing w:line="720" w:lineRule="exact"/>
        <w:rPr>
          <w:rFonts w:hint="eastAsia" w:ascii="宋体" w:hAnsi="宋体"/>
        </w:rPr>
      </w:pPr>
      <w:r>
        <w:rPr>
          <w:rFonts w:hint="eastAsia" w:ascii="宋体" w:hAnsi="宋体"/>
          <w:sz w:val="32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                                                    </w:t>
      </w:r>
      <w:r>
        <w:rPr>
          <w:rFonts w:hint="eastAsia" w:ascii="宋体" w:hAnsi="宋体"/>
        </w:rPr>
        <w:t xml:space="preserve"> </w:t>
      </w:r>
    </w:p>
    <w:p>
      <w:pPr>
        <w:spacing w:line="720" w:lineRule="exact"/>
        <w:ind w:firstLine="420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 xml:space="preserve">第二次 </w:t>
      </w:r>
    </w:p>
    <w:p>
      <w:pPr>
        <w:spacing w:line="720" w:lineRule="exact"/>
        <w:ind w:firstLine="420"/>
        <w:rPr>
          <w:rFonts w:hint="eastAsia" w:ascii="宋体" w:hAnsi="宋体"/>
          <w:sz w:val="32"/>
        </w:rPr>
      </w:pPr>
    </w:p>
    <w:p>
      <w:pPr>
        <w:spacing w:line="720" w:lineRule="exact"/>
        <w:ind w:firstLine="420"/>
        <w:rPr>
          <w:rFonts w:hint="eastAsia" w:ascii="宋体" w:hAnsi="宋体"/>
          <w:sz w:val="32"/>
        </w:rPr>
      </w:pPr>
    </w:p>
    <w:p>
      <w:pPr>
        <w:spacing w:line="720" w:lineRule="exact"/>
        <w:ind w:firstLine="4160" w:firstLineChars="1300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 xml:space="preserve">教研室主任签名: </w:t>
      </w:r>
    </w:p>
    <w:p>
      <w:pPr>
        <w:spacing w:line="720" w:lineRule="exact"/>
        <w:jc w:val="right"/>
        <w:rPr>
          <w:rFonts w:hint="eastAsia" w:ascii="方正姚体" w:hAnsi="宋体" w:eastAsia="方正姚体"/>
        </w:rPr>
      </w:pPr>
      <w:r>
        <w:rPr>
          <w:rFonts w:hint="eastAsia" w:ascii="宋体" w:hAnsi="宋体"/>
          <w:sz w:val="32"/>
        </w:rPr>
        <w:t>20   年     月     日</w:t>
      </w:r>
      <w:r>
        <w:rPr>
          <w:rFonts w:hint="eastAsia" w:ascii="方正姚体" w:hAnsi="宋体" w:eastAsia="方正姚体"/>
          <w:sz w:val="36"/>
        </w:rPr>
        <w:t xml:space="preserve">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500" w:firstLineChars="2500"/>
      <w:rPr>
        <w:rFonts w:hint="eastAsia"/>
      </w:rPr>
    </w:pPr>
    <w:r>
      <w:fldChar w:fldCharType="begin"/>
    </w:r>
    <w:r>
      <w:rPr>
        <w:rStyle w:val="9"/>
      </w:rPr>
      <w:instrText xml:space="preserve"> PAGE </w:instrText>
    </w:r>
    <w:r>
      <w:fldChar w:fldCharType="separate"/>
    </w:r>
    <w:r>
      <w:rPr>
        <w:rStyle w:val="9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B2B100"/>
    <w:multiLevelType w:val="singleLevel"/>
    <w:tmpl w:val="18B2B100"/>
    <w:lvl w:ilvl="0" w:tentative="0">
      <w:start w:val="7"/>
      <w:numFmt w:val="decimal"/>
      <w:suff w:val="space"/>
      <w:lvlText w:val="第%1章"/>
      <w:lvlJc w:val="left"/>
    </w:lvl>
  </w:abstractNum>
  <w:abstractNum w:abstractNumId="1">
    <w:nsid w:val="58A985BE"/>
    <w:multiLevelType w:val="singleLevel"/>
    <w:tmpl w:val="58A985BE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jljNGY3NDIzNmU3NTZlZTk2YjI1NjVlNzhmYWMifQ=="/>
  </w:docVars>
  <w:rsids>
    <w:rsidRoot w:val="00C74845"/>
    <w:rsid w:val="0000664A"/>
    <w:rsid w:val="00017D09"/>
    <w:rsid w:val="00080C66"/>
    <w:rsid w:val="000871EC"/>
    <w:rsid w:val="000875CB"/>
    <w:rsid w:val="00094EF8"/>
    <w:rsid w:val="00170721"/>
    <w:rsid w:val="001A4A59"/>
    <w:rsid w:val="00224644"/>
    <w:rsid w:val="00276FE8"/>
    <w:rsid w:val="002B532A"/>
    <w:rsid w:val="002B7A86"/>
    <w:rsid w:val="002D64F8"/>
    <w:rsid w:val="002E68C1"/>
    <w:rsid w:val="003162DB"/>
    <w:rsid w:val="0033169A"/>
    <w:rsid w:val="00342F2F"/>
    <w:rsid w:val="0036154F"/>
    <w:rsid w:val="0037053E"/>
    <w:rsid w:val="00397521"/>
    <w:rsid w:val="003A4117"/>
    <w:rsid w:val="003B64F5"/>
    <w:rsid w:val="003C539B"/>
    <w:rsid w:val="003D18A3"/>
    <w:rsid w:val="004003A2"/>
    <w:rsid w:val="004B2AAC"/>
    <w:rsid w:val="004B4047"/>
    <w:rsid w:val="004C60F8"/>
    <w:rsid w:val="004E1CAD"/>
    <w:rsid w:val="00505CDF"/>
    <w:rsid w:val="00514528"/>
    <w:rsid w:val="005420B0"/>
    <w:rsid w:val="00565B5E"/>
    <w:rsid w:val="005B4B3E"/>
    <w:rsid w:val="005C186D"/>
    <w:rsid w:val="00657155"/>
    <w:rsid w:val="006B11C4"/>
    <w:rsid w:val="006B1A76"/>
    <w:rsid w:val="006E4726"/>
    <w:rsid w:val="006F4A05"/>
    <w:rsid w:val="00710D22"/>
    <w:rsid w:val="0071342A"/>
    <w:rsid w:val="00726180"/>
    <w:rsid w:val="00732947"/>
    <w:rsid w:val="0073622A"/>
    <w:rsid w:val="007475E6"/>
    <w:rsid w:val="00772698"/>
    <w:rsid w:val="0078525A"/>
    <w:rsid w:val="007B0FF6"/>
    <w:rsid w:val="007E38F2"/>
    <w:rsid w:val="00804A1B"/>
    <w:rsid w:val="00804B7A"/>
    <w:rsid w:val="008274CC"/>
    <w:rsid w:val="00874E32"/>
    <w:rsid w:val="00892EBE"/>
    <w:rsid w:val="008E162E"/>
    <w:rsid w:val="008E35E3"/>
    <w:rsid w:val="008E7EFD"/>
    <w:rsid w:val="00927F27"/>
    <w:rsid w:val="009A38CD"/>
    <w:rsid w:val="00A04C22"/>
    <w:rsid w:val="00A15740"/>
    <w:rsid w:val="00A32C9B"/>
    <w:rsid w:val="00A622EB"/>
    <w:rsid w:val="00A670BE"/>
    <w:rsid w:val="00A87697"/>
    <w:rsid w:val="00AD0417"/>
    <w:rsid w:val="00B31BB2"/>
    <w:rsid w:val="00B53BE9"/>
    <w:rsid w:val="00BD603F"/>
    <w:rsid w:val="00C054AB"/>
    <w:rsid w:val="00C23412"/>
    <w:rsid w:val="00C444B8"/>
    <w:rsid w:val="00C74845"/>
    <w:rsid w:val="00C97CD3"/>
    <w:rsid w:val="00CA631D"/>
    <w:rsid w:val="00CA6C06"/>
    <w:rsid w:val="00CA6E04"/>
    <w:rsid w:val="00CC5669"/>
    <w:rsid w:val="00CD4FAF"/>
    <w:rsid w:val="00CE2F0C"/>
    <w:rsid w:val="00D10AFE"/>
    <w:rsid w:val="00D52397"/>
    <w:rsid w:val="00D90A88"/>
    <w:rsid w:val="00D950B4"/>
    <w:rsid w:val="00DA7A3E"/>
    <w:rsid w:val="00DC649B"/>
    <w:rsid w:val="00DD0BCE"/>
    <w:rsid w:val="00DF5D41"/>
    <w:rsid w:val="00E0564F"/>
    <w:rsid w:val="00E60EF7"/>
    <w:rsid w:val="00E66C60"/>
    <w:rsid w:val="00EB6D25"/>
    <w:rsid w:val="00EC4DEC"/>
    <w:rsid w:val="00EF2F4E"/>
    <w:rsid w:val="00F138FB"/>
    <w:rsid w:val="00F35A91"/>
    <w:rsid w:val="00F47B4D"/>
    <w:rsid w:val="00F52692"/>
    <w:rsid w:val="00F70C3C"/>
    <w:rsid w:val="00F7385D"/>
    <w:rsid w:val="00F76EFE"/>
    <w:rsid w:val="00F879C3"/>
    <w:rsid w:val="00FA2BC3"/>
    <w:rsid w:val="00FE3D4A"/>
    <w:rsid w:val="00FF0A62"/>
    <w:rsid w:val="04BF4638"/>
    <w:rsid w:val="05A14208"/>
    <w:rsid w:val="0B25755B"/>
    <w:rsid w:val="15D15457"/>
    <w:rsid w:val="1E0A00B7"/>
    <w:rsid w:val="273B40C0"/>
    <w:rsid w:val="2F602A72"/>
    <w:rsid w:val="3053761F"/>
    <w:rsid w:val="351016EC"/>
    <w:rsid w:val="3B0F534F"/>
    <w:rsid w:val="3BE40706"/>
    <w:rsid w:val="3C7B7F67"/>
    <w:rsid w:val="42123A16"/>
    <w:rsid w:val="44A41E76"/>
    <w:rsid w:val="4D502B24"/>
    <w:rsid w:val="56254B9F"/>
    <w:rsid w:val="5A075AB0"/>
    <w:rsid w:val="6A1346F3"/>
    <w:rsid w:val="6A2213EB"/>
    <w:rsid w:val="6B8655E0"/>
    <w:rsid w:val="720144B7"/>
    <w:rsid w:val="7608080B"/>
    <w:rsid w:val="7D23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right="-1675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autoRedefine/>
    <w:qFormat/>
    <w:uiPriority w:val="0"/>
    <w:rPr>
      <w:b/>
      <w:bCs/>
    </w:rPr>
  </w:style>
  <w:style w:type="character" w:styleId="9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&#25945;&#23398;&#35745;&#21010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教学计划</Template>
  <Pages>8</Pages>
  <Words>543</Words>
  <Characters>3101</Characters>
  <Lines>25</Lines>
  <Paragraphs>7</Paragraphs>
  <TotalTime>57</TotalTime>
  <ScaleCrop>false</ScaleCrop>
  <LinksUpToDate>false</LinksUpToDate>
  <CharactersWithSpaces>3637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2021-03-19T06:48:00Z</dcterms:created>
  <dc:creator>John  Smart</dc:creator>
  <cp:lastModifiedBy>霹雳风雷</cp:lastModifiedBy>
  <cp:lastPrinted>2011-02-22T02:00:00Z</cp:lastPrinted>
  <dcterms:modified xsi:type="dcterms:W3CDTF">2026-03-12T12:47:18Z</dcterms:modified>
  <dc:title>乐山师范学院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75D7C4EAD74443DEB903AAC974E098C5_13</vt:lpwstr>
  </property>
</Properties>
</file>